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1C" w:rsidRDefault="00FA0E1C" w:rsidP="00490D63">
      <w:pPr>
        <w:ind w:left="-284" w:right="-143"/>
        <w:jc w:val="center"/>
        <w:rPr>
          <w:sz w:val="28"/>
        </w:rPr>
      </w:pPr>
      <w:bookmarkStart w:id="0" w:name="_GoBack"/>
      <w:bookmarkEnd w:id="0"/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FA0E1C" w:rsidRPr="00986D97" w:rsidRDefault="00FA0E1C" w:rsidP="00490D63">
      <w:pPr>
        <w:ind w:left="-284" w:right="-143"/>
        <w:jc w:val="center"/>
        <w:rPr>
          <w:b/>
          <w:sz w:val="28"/>
          <w:u w:val="single"/>
        </w:rPr>
      </w:pPr>
      <w:r w:rsidRPr="00986D97">
        <w:rPr>
          <w:b/>
          <w:sz w:val="28"/>
          <w:u w:val="single"/>
        </w:rPr>
        <w:t>О способах урегулирования задолженности.</w:t>
      </w:r>
    </w:p>
    <w:p w:rsidR="00FA0E1C" w:rsidRDefault="00FA0E1C" w:rsidP="00490D63">
      <w:pPr>
        <w:ind w:left="-284" w:right="-143"/>
        <w:jc w:val="center"/>
        <w:rPr>
          <w:sz w:val="28"/>
        </w:rPr>
      </w:pPr>
    </w:p>
    <w:p w:rsidR="00490D63" w:rsidRDefault="00624D40" w:rsidP="00490D63">
      <w:pPr>
        <w:ind w:left="-284" w:right="-143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1302385</wp:posOffset>
            </wp:positionH>
            <wp:positionV relativeFrom="margin">
              <wp:posOffset>3503295</wp:posOffset>
            </wp:positionV>
            <wp:extent cx="544830" cy="549275"/>
            <wp:effectExtent l="0" t="0" r="7620" b="3175"/>
            <wp:wrapSquare wrapText="bothSides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F0" w:rsidRPr="002501DC" w:rsidRDefault="00624D40" w:rsidP="004600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710565</wp:posOffset>
            </wp:positionH>
            <wp:positionV relativeFrom="margin">
              <wp:posOffset>8323580</wp:posOffset>
            </wp:positionV>
            <wp:extent cx="1544320" cy="1584960"/>
            <wp:effectExtent l="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t="5537" r="5728" b="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4220845</wp:posOffset>
            </wp:positionH>
            <wp:positionV relativeFrom="margin">
              <wp:posOffset>8323580</wp:posOffset>
            </wp:positionV>
            <wp:extent cx="1543050" cy="1565275"/>
            <wp:effectExtent l="0" t="0" r="0" b="0"/>
            <wp:wrapSquare wrapText="bothSides"/>
            <wp:docPr id="8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4485005</wp:posOffset>
            </wp:positionH>
            <wp:positionV relativeFrom="margin">
              <wp:posOffset>3686810</wp:posOffset>
            </wp:positionV>
            <wp:extent cx="1108075" cy="277495"/>
            <wp:effectExtent l="0" t="0" r="0" b="8255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534670</wp:posOffset>
                </wp:positionV>
                <wp:extent cx="3138170" cy="4177030"/>
                <wp:effectExtent l="8255" t="8255" r="635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B6" w:rsidRPr="00A06D8E" w:rsidRDefault="002A4AB6" w:rsidP="002A4AB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При наличии задолженности (или рисков ее возникновения) не только по налоговым платежам, но и перед другими кредиторами, Вы можете обратиться в </w:t>
                            </w:r>
                            <w:r w:rsidRPr="00A06D8E">
                              <w:rPr>
                                <w:b/>
                                <w:sz w:val="20"/>
                                <w:szCs w:val="30"/>
                              </w:rPr>
                              <w:t>Фонд содействия реструктуризации долга</w:t>
                            </w: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 (далее – Фонд). </w:t>
                            </w:r>
                          </w:p>
                          <w:p w:rsidR="002A4AB6" w:rsidRPr="00A06D8E" w:rsidRDefault="002A4AB6" w:rsidP="002A4AB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Фонд на безвозмездной основе предлагает комплексное решение по урегулированию долга, в том числе реструктуризация банковского долга, рефинансирование, инвестирование, </w:t>
                            </w:r>
                            <w:r>
                              <w:rPr>
                                <w:sz w:val="20"/>
                                <w:szCs w:val="30"/>
                              </w:rPr>
                              <w:t xml:space="preserve">составление индивидуальной дорожной карты банкротства, </w:t>
                            </w:r>
                            <w:r w:rsidRPr="00A06D8E">
                              <w:rPr>
                                <w:sz w:val="20"/>
                                <w:szCs w:val="30"/>
                              </w:rPr>
                              <w:t>а также возможность проведения переговоров с кредиторами при участии независимых экспертов.</w:t>
                            </w:r>
                          </w:p>
                          <w:p w:rsidR="002A4AB6" w:rsidRPr="00A06D8E" w:rsidRDefault="002A4AB6" w:rsidP="002A4AB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Мера поддержки выбирается </w:t>
                            </w:r>
                            <w:r w:rsidRPr="00A06D8E">
                              <w:rPr>
                                <w:b/>
                                <w:sz w:val="20"/>
                                <w:szCs w:val="30"/>
                              </w:rPr>
                              <w:t>индивидуально</w:t>
                            </w: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 по результатам подробного анализа всех фактических обстоятельств,</w:t>
                            </w:r>
                            <w:r>
                              <w:rPr>
                                <w:sz w:val="20"/>
                                <w:szCs w:val="30"/>
                              </w:rPr>
                              <w:t xml:space="preserve"> связанных с имеющимся долгом. </w:t>
                            </w:r>
                          </w:p>
                          <w:p w:rsidR="002A4AB6" w:rsidRPr="00A06D8E" w:rsidRDefault="002A4AB6" w:rsidP="002A4AB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Партнёрами Фонда, помимо ФНС России, являются представители Торгово-промышленной палаты России, АО «Корпорация малого и среднего </w:t>
                            </w:r>
                            <w:r>
                              <w:rPr>
                                <w:sz w:val="20"/>
                                <w:szCs w:val="30"/>
                              </w:rPr>
                              <w:t>предпринимательства», Ассоциация</w:t>
                            </w: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 банков России. </w:t>
                            </w:r>
                          </w:p>
                          <w:p w:rsidR="002A4AB6" w:rsidRDefault="002A4AB6" w:rsidP="002A4AB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>Более подробную информацию о предоставляемых мерах поддержки можно получить по телефону:</w:t>
                            </w:r>
                            <w:r>
                              <w:rPr>
                                <w:sz w:val="20"/>
                                <w:szCs w:val="30"/>
                              </w:rPr>
                              <w:t xml:space="preserve"> </w:t>
                            </w:r>
                            <w:r w:rsidRPr="00A06D8E">
                              <w:rPr>
                                <w:sz w:val="20"/>
                                <w:szCs w:val="30"/>
                              </w:rPr>
                              <w:t>+7 (916) 441 17 29</w:t>
                            </w:r>
                            <w:r>
                              <w:rPr>
                                <w:sz w:val="20"/>
                                <w:szCs w:val="30"/>
                              </w:rPr>
                              <w:t xml:space="preserve">, электронной почте: </w:t>
                            </w:r>
                            <w:hyperlink r:id="rId11" w:history="1">
                              <w:r w:rsidRPr="003D597D">
                                <w:rPr>
                                  <w:rStyle w:val="a9"/>
                                  <w:sz w:val="20"/>
                                  <w:szCs w:val="30"/>
                                </w:rPr>
                                <w:t>info@fondsrd.ru</w:t>
                              </w:r>
                            </w:hyperlink>
                            <w:r>
                              <w:rPr>
                                <w:sz w:val="20"/>
                                <w:szCs w:val="30"/>
                              </w:rPr>
                              <w:t xml:space="preserve"> и на официальном сайте Фонда: </w:t>
                            </w:r>
                          </w:p>
                          <w:p w:rsidR="002A4AB6" w:rsidRDefault="002A4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45pt;margin-top:42.1pt;width:247.1pt;height:32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" strokecolor="white">
                <v:textbox>
                  <w:txbxContent>
                    <w:p w:rsidR="002A4AB6" w:rsidRPr="00A06D8E" w:rsidRDefault="002A4AB6" w:rsidP="002A4AB6">
                      <w:pPr>
                        <w:spacing w:line="276" w:lineRule="auto"/>
                        <w:ind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 xml:space="preserve">При наличии задолженности (или рисков ее возникновения) не только по налоговым платежам, но и перед другими кредиторами, Вы можете обратиться в </w:t>
                      </w:r>
                      <w:r w:rsidRPr="00A06D8E">
                        <w:rPr>
                          <w:b/>
                          <w:sz w:val="20"/>
                          <w:szCs w:val="30"/>
                        </w:rPr>
                        <w:t>Фонд содействия реструктуризации долга</w:t>
                      </w:r>
                      <w:r w:rsidRPr="00A06D8E">
                        <w:rPr>
                          <w:sz w:val="20"/>
                          <w:szCs w:val="30"/>
                        </w:rPr>
                        <w:t xml:space="preserve"> (далее – Фонд). </w:t>
                      </w:r>
                    </w:p>
                    <w:p w:rsidR="002A4AB6" w:rsidRPr="00A06D8E" w:rsidRDefault="002A4AB6" w:rsidP="002A4AB6">
                      <w:pPr>
                        <w:spacing w:line="276" w:lineRule="auto"/>
                        <w:ind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 xml:space="preserve">Фонд на безвозмездной основе предлагает комплексное решение по урегулированию долга, в том числе реструктуризация банковского долга, рефинансирование, инвестирование, </w:t>
                      </w:r>
                      <w:r>
                        <w:rPr>
                          <w:sz w:val="20"/>
                          <w:szCs w:val="30"/>
                        </w:rPr>
                        <w:t xml:space="preserve">составление индивидуальной дорожной карты банкротства, </w:t>
                      </w:r>
                      <w:r w:rsidRPr="00A06D8E">
                        <w:rPr>
                          <w:sz w:val="20"/>
                          <w:szCs w:val="30"/>
                        </w:rPr>
                        <w:t>а также возможность проведения переговоров с кредиторами при участии независимых экспертов.</w:t>
                      </w:r>
                    </w:p>
                    <w:p w:rsidR="002A4AB6" w:rsidRPr="00A06D8E" w:rsidRDefault="002A4AB6" w:rsidP="002A4AB6">
                      <w:pPr>
                        <w:spacing w:line="276" w:lineRule="auto"/>
                        <w:ind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 xml:space="preserve">Мера поддержки выбирается </w:t>
                      </w:r>
                      <w:r w:rsidRPr="00A06D8E">
                        <w:rPr>
                          <w:b/>
                          <w:sz w:val="20"/>
                          <w:szCs w:val="30"/>
                        </w:rPr>
                        <w:t>индивидуально</w:t>
                      </w:r>
                      <w:r w:rsidRPr="00A06D8E">
                        <w:rPr>
                          <w:sz w:val="20"/>
                          <w:szCs w:val="30"/>
                        </w:rPr>
                        <w:t xml:space="preserve"> по результатам подробного анализа всех фактических обстоятельств,</w:t>
                      </w:r>
                      <w:r>
                        <w:rPr>
                          <w:sz w:val="20"/>
                          <w:szCs w:val="30"/>
                        </w:rPr>
                        <w:t xml:space="preserve"> связанных с имеющимся долгом. </w:t>
                      </w:r>
                    </w:p>
                    <w:p w:rsidR="002A4AB6" w:rsidRPr="00A06D8E" w:rsidRDefault="002A4AB6" w:rsidP="002A4AB6">
                      <w:pPr>
                        <w:spacing w:line="276" w:lineRule="auto"/>
                        <w:ind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 xml:space="preserve">Партнёрами Фонда, помимо ФНС России, являются представители Торгово-промышленной палаты России, АО «Корпорация малого и среднего </w:t>
                      </w:r>
                      <w:r>
                        <w:rPr>
                          <w:sz w:val="20"/>
                          <w:szCs w:val="30"/>
                        </w:rPr>
                        <w:t>предпринимательства», Ассоциация</w:t>
                      </w:r>
                      <w:r w:rsidRPr="00A06D8E">
                        <w:rPr>
                          <w:sz w:val="20"/>
                          <w:szCs w:val="30"/>
                        </w:rPr>
                        <w:t xml:space="preserve"> банков России. </w:t>
                      </w:r>
                    </w:p>
                    <w:p w:rsidR="002A4AB6" w:rsidRDefault="002A4AB6" w:rsidP="002A4AB6">
                      <w:pPr>
                        <w:spacing w:line="276" w:lineRule="auto"/>
                        <w:ind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>Более подробную информацию о предоставляемых мерах поддержки можно получить по телефону:</w:t>
                      </w:r>
                      <w:r>
                        <w:rPr>
                          <w:sz w:val="20"/>
                          <w:szCs w:val="30"/>
                        </w:rPr>
                        <w:t xml:space="preserve"> </w:t>
                      </w:r>
                      <w:r w:rsidRPr="00A06D8E">
                        <w:rPr>
                          <w:sz w:val="20"/>
                          <w:szCs w:val="30"/>
                        </w:rPr>
                        <w:t>+7 (916) 441 17 29</w:t>
                      </w:r>
                      <w:r>
                        <w:rPr>
                          <w:sz w:val="20"/>
                          <w:szCs w:val="30"/>
                        </w:rPr>
                        <w:t xml:space="preserve">, электронной почте: </w:t>
                      </w:r>
                      <w:hyperlink r:id="rId12" w:history="1">
                        <w:r w:rsidRPr="003D597D">
                          <w:rPr>
                            <w:rStyle w:val="a9"/>
                            <w:sz w:val="20"/>
                            <w:szCs w:val="30"/>
                          </w:rPr>
                          <w:t>info@fondsrd.ru</w:t>
                        </w:r>
                      </w:hyperlink>
                      <w:r>
                        <w:rPr>
                          <w:sz w:val="20"/>
                          <w:szCs w:val="30"/>
                        </w:rPr>
                        <w:t xml:space="preserve"> и на официальном сайте Фонда: </w:t>
                      </w:r>
                    </w:p>
                    <w:p w:rsidR="002A4AB6" w:rsidRDefault="002A4AB6"/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4081780</wp:posOffset>
                </wp:positionV>
                <wp:extent cx="3105150" cy="3956050"/>
                <wp:effectExtent l="10160" t="12700" r="889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B6" w:rsidRPr="00A06D8E" w:rsidRDefault="002A4AB6" w:rsidP="002A4AB6">
                            <w:pPr>
                              <w:spacing w:line="276" w:lineRule="auto"/>
                              <w:ind w:right="-143"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Сообщаем о возможности участия в проекте </w:t>
                            </w:r>
                            <w:r w:rsidRPr="00A06D8E">
                              <w:rPr>
                                <w:b/>
                                <w:sz w:val="20"/>
                                <w:szCs w:val="30"/>
                              </w:rPr>
                              <w:t>Площадки реструктуризации долга</w:t>
                            </w: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 (далее – Площадка) по организации взаимодействия должников и кредиторов с целью восстановления платежеспособности.</w:t>
                            </w:r>
                          </w:p>
                          <w:p w:rsidR="002A4AB6" w:rsidRPr="00A06D8E" w:rsidRDefault="002A4AB6" w:rsidP="002A4AB6">
                            <w:pPr>
                              <w:spacing w:line="276" w:lineRule="auto"/>
                              <w:ind w:right="-143"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На Площадке осуществляется проработка возможных способов урегулирования задолженности (погашение задолженности третьим лицом, предоставление рассрочки по уплате налогов, заключение мирового соглашение на стадии инициирования дела о банкротстве или в процедуре банкротства и т.д.) с учетом жизненной ситуации и финансово-хозяйственного положения должника. </w:t>
                            </w:r>
                          </w:p>
                          <w:p w:rsidR="002A4AB6" w:rsidRDefault="002A4AB6" w:rsidP="002A4AB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0"/>
                                <w:szCs w:val="30"/>
                              </w:rPr>
                            </w:pPr>
                            <w:r w:rsidRPr="00A06D8E">
                              <w:rPr>
                                <w:sz w:val="20"/>
                                <w:szCs w:val="30"/>
                              </w:rPr>
                              <w:t xml:space="preserve">Более подробная информация о согласительных процедурах на Площадке может быть предоставлена Межрегиональной инспекцией                       ФНС России по управлению долгом по телефону: </w:t>
                            </w:r>
                            <w:r>
                              <w:rPr>
                                <w:sz w:val="20"/>
                                <w:szCs w:val="30"/>
                              </w:rPr>
                              <w:br/>
                            </w:r>
                            <w:r w:rsidR="009149DB">
                              <w:rPr>
                                <w:sz w:val="20"/>
                                <w:szCs w:val="30"/>
                              </w:rPr>
                              <w:t>8</w:t>
                            </w:r>
                            <w:r w:rsidR="009149DB" w:rsidRPr="009149DB">
                              <w:rPr>
                                <w:sz w:val="20"/>
                                <w:szCs w:val="30"/>
                              </w:rPr>
                              <w:t>(499) 673</w:t>
                            </w:r>
                            <w:r w:rsidR="009149DB">
                              <w:rPr>
                                <w:sz w:val="20"/>
                                <w:szCs w:val="30"/>
                              </w:rPr>
                              <w:t>-</w:t>
                            </w:r>
                            <w:r w:rsidR="009149DB" w:rsidRPr="009149DB">
                              <w:rPr>
                                <w:sz w:val="20"/>
                                <w:szCs w:val="30"/>
                              </w:rPr>
                              <w:t>90</w:t>
                            </w:r>
                            <w:r w:rsidR="009149DB">
                              <w:rPr>
                                <w:sz w:val="20"/>
                                <w:szCs w:val="30"/>
                              </w:rPr>
                              <w:t>-</w:t>
                            </w:r>
                            <w:r w:rsidR="009149DB" w:rsidRPr="009149DB">
                              <w:rPr>
                                <w:sz w:val="20"/>
                                <w:szCs w:val="30"/>
                              </w:rPr>
                              <w:t>04</w:t>
                            </w:r>
                            <w:r w:rsidRPr="00A06D8E">
                              <w:rPr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:rsidR="002A4AB6" w:rsidRDefault="002A4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35pt;margin-top:321.4pt;width:244.5pt;height:31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" strokecolor="white">
                <v:textbox>
                  <w:txbxContent>
                    <w:p w:rsidR="002A4AB6" w:rsidRPr="00A06D8E" w:rsidRDefault="002A4AB6" w:rsidP="002A4AB6">
                      <w:pPr>
                        <w:spacing w:line="276" w:lineRule="auto"/>
                        <w:ind w:right="-143"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 xml:space="preserve">Сообщаем о возможности участия в проекте </w:t>
                      </w:r>
                      <w:r w:rsidRPr="00A06D8E">
                        <w:rPr>
                          <w:b/>
                          <w:sz w:val="20"/>
                          <w:szCs w:val="30"/>
                        </w:rPr>
                        <w:t>Площадки реструктуризации долга</w:t>
                      </w:r>
                      <w:r w:rsidRPr="00A06D8E">
                        <w:rPr>
                          <w:sz w:val="20"/>
                          <w:szCs w:val="30"/>
                        </w:rPr>
                        <w:t xml:space="preserve"> (далее – Площадка) по организации взаимодействия должников и кредиторов с целью восстановления платежеспособности.</w:t>
                      </w:r>
                    </w:p>
                    <w:p w:rsidR="002A4AB6" w:rsidRPr="00A06D8E" w:rsidRDefault="002A4AB6" w:rsidP="002A4AB6">
                      <w:pPr>
                        <w:spacing w:line="276" w:lineRule="auto"/>
                        <w:ind w:right="-143"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 xml:space="preserve">На Площадке осуществляется проработка возможных способов урегулирования задолженности (погашение задолженности третьим лицом, предоставление рассрочки по уплате налогов, заключение мирового соглашение на стадии инициирования дела о банкротстве или в процедуре банкротства и т.д.) с учетом жизненной ситуации и финансово-хозяйственного положения должника. </w:t>
                      </w:r>
                    </w:p>
                    <w:p w:rsidR="002A4AB6" w:rsidRDefault="002A4AB6" w:rsidP="002A4AB6">
                      <w:pPr>
                        <w:spacing w:line="276" w:lineRule="auto"/>
                        <w:ind w:firstLine="709"/>
                        <w:jc w:val="both"/>
                        <w:rPr>
                          <w:sz w:val="20"/>
                          <w:szCs w:val="30"/>
                        </w:rPr>
                      </w:pPr>
                      <w:r w:rsidRPr="00A06D8E">
                        <w:rPr>
                          <w:sz w:val="20"/>
                          <w:szCs w:val="30"/>
                        </w:rPr>
                        <w:t xml:space="preserve">Более подробная информация о согласительных процедурах на Площадке может быть предоставлена Межрегиональной инспекцией                       ФНС России по управлению долгом по телефону: </w:t>
                      </w:r>
                      <w:r>
                        <w:rPr>
                          <w:sz w:val="20"/>
                          <w:szCs w:val="30"/>
                        </w:rPr>
                        <w:br/>
                      </w:r>
                      <w:r w:rsidR="009149DB">
                        <w:rPr>
                          <w:sz w:val="20"/>
                          <w:szCs w:val="30"/>
                        </w:rPr>
                        <w:t>8</w:t>
                      </w:r>
                      <w:r w:rsidR="009149DB" w:rsidRPr="009149DB">
                        <w:rPr>
                          <w:sz w:val="20"/>
                          <w:szCs w:val="30"/>
                        </w:rPr>
                        <w:t>(499) 673</w:t>
                      </w:r>
                      <w:r w:rsidR="009149DB">
                        <w:rPr>
                          <w:sz w:val="20"/>
                          <w:szCs w:val="30"/>
                        </w:rPr>
                        <w:t>-</w:t>
                      </w:r>
                      <w:r w:rsidR="009149DB" w:rsidRPr="009149DB">
                        <w:rPr>
                          <w:sz w:val="20"/>
                          <w:szCs w:val="30"/>
                        </w:rPr>
                        <w:t>90</w:t>
                      </w:r>
                      <w:r w:rsidR="009149DB">
                        <w:rPr>
                          <w:sz w:val="20"/>
                          <w:szCs w:val="30"/>
                        </w:rPr>
                        <w:t>-</w:t>
                      </w:r>
                      <w:r w:rsidR="009149DB" w:rsidRPr="009149DB">
                        <w:rPr>
                          <w:sz w:val="20"/>
                          <w:szCs w:val="30"/>
                        </w:rPr>
                        <w:t>04</w:t>
                      </w:r>
                      <w:r w:rsidRPr="00A06D8E">
                        <w:rPr>
                          <w:sz w:val="20"/>
                          <w:szCs w:val="30"/>
                        </w:rPr>
                        <w:t>.</w:t>
                      </w:r>
                    </w:p>
                    <w:p w:rsidR="002A4AB6" w:rsidRDefault="002A4AB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507F0" w:rsidRPr="002501DC" w:rsidSect="00401797">
      <w:headerReference w:type="even" r:id="rId13"/>
      <w:headerReference w:type="default" r:id="rId14"/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1D" w:rsidRDefault="00527D1D">
      <w:r>
        <w:separator/>
      </w:r>
    </w:p>
  </w:endnote>
  <w:endnote w:type="continuationSeparator" w:id="0">
    <w:p w:rsidR="00527D1D" w:rsidRDefault="0052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1D" w:rsidRDefault="00527D1D">
      <w:r>
        <w:separator/>
      </w:r>
    </w:p>
  </w:footnote>
  <w:footnote w:type="continuationSeparator" w:id="0">
    <w:p w:rsidR="00527D1D" w:rsidRDefault="0052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1D" w:rsidRDefault="00665F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7" w:rsidRDefault="00401797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AB6">
      <w:rPr>
        <w:rStyle w:val="a5"/>
        <w:noProof/>
      </w:rPr>
      <w:t>2</w:t>
    </w:r>
    <w:r>
      <w:rPr>
        <w:rStyle w:val="a5"/>
      </w:rPr>
      <w:fldChar w:fldCharType="end"/>
    </w:r>
  </w:p>
  <w:p w:rsidR="00401797" w:rsidRDefault="004017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6F"/>
    <w:rsid w:val="0002041B"/>
    <w:rsid w:val="00021612"/>
    <w:rsid w:val="00030BC7"/>
    <w:rsid w:val="0003240F"/>
    <w:rsid w:val="000446BC"/>
    <w:rsid w:val="00050042"/>
    <w:rsid w:val="000746D1"/>
    <w:rsid w:val="00075098"/>
    <w:rsid w:val="000801E7"/>
    <w:rsid w:val="00082044"/>
    <w:rsid w:val="00083ABB"/>
    <w:rsid w:val="000B76C8"/>
    <w:rsid w:val="000C074B"/>
    <w:rsid w:val="000F25A4"/>
    <w:rsid w:val="00116451"/>
    <w:rsid w:val="00127811"/>
    <w:rsid w:val="0014317F"/>
    <w:rsid w:val="001712C8"/>
    <w:rsid w:val="0017627E"/>
    <w:rsid w:val="00180D73"/>
    <w:rsid w:val="001B2170"/>
    <w:rsid w:val="001D135D"/>
    <w:rsid w:val="001D4427"/>
    <w:rsid w:val="001D59F1"/>
    <w:rsid w:val="001D5CEB"/>
    <w:rsid w:val="001F6706"/>
    <w:rsid w:val="0020292E"/>
    <w:rsid w:val="00205473"/>
    <w:rsid w:val="002069B2"/>
    <w:rsid w:val="00231151"/>
    <w:rsid w:val="002463BF"/>
    <w:rsid w:val="002501DC"/>
    <w:rsid w:val="00250D80"/>
    <w:rsid w:val="00272E26"/>
    <w:rsid w:val="002A4AB6"/>
    <w:rsid w:val="002B4423"/>
    <w:rsid w:val="002B6AF2"/>
    <w:rsid w:val="002C51AD"/>
    <w:rsid w:val="002D60C9"/>
    <w:rsid w:val="002F6960"/>
    <w:rsid w:val="003125F5"/>
    <w:rsid w:val="00314D10"/>
    <w:rsid w:val="00316606"/>
    <w:rsid w:val="00374123"/>
    <w:rsid w:val="003841FF"/>
    <w:rsid w:val="003A62AC"/>
    <w:rsid w:val="003B67AB"/>
    <w:rsid w:val="003B797E"/>
    <w:rsid w:val="003E34C4"/>
    <w:rsid w:val="00400B87"/>
    <w:rsid w:val="00401797"/>
    <w:rsid w:val="00410EC2"/>
    <w:rsid w:val="00412E07"/>
    <w:rsid w:val="00423474"/>
    <w:rsid w:val="0046000D"/>
    <w:rsid w:val="004874C3"/>
    <w:rsid w:val="00490D63"/>
    <w:rsid w:val="004A51F8"/>
    <w:rsid w:val="004B6B4C"/>
    <w:rsid w:val="00500ED3"/>
    <w:rsid w:val="00527D1D"/>
    <w:rsid w:val="00530D2D"/>
    <w:rsid w:val="00531AFD"/>
    <w:rsid w:val="00541F61"/>
    <w:rsid w:val="0054438D"/>
    <w:rsid w:val="00545433"/>
    <w:rsid w:val="00552B2B"/>
    <w:rsid w:val="0055542E"/>
    <w:rsid w:val="0055585E"/>
    <w:rsid w:val="00561204"/>
    <w:rsid w:val="00563A86"/>
    <w:rsid w:val="00573EB3"/>
    <w:rsid w:val="00575C20"/>
    <w:rsid w:val="005A71FF"/>
    <w:rsid w:val="005B6D20"/>
    <w:rsid w:val="005C10E5"/>
    <w:rsid w:val="005C2487"/>
    <w:rsid w:val="005D4E53"/>
    <w:rsid w:val="005F19E8"/>
    <w:rsid w:val="005F7A99"/>
    <w:rsid w:val="00602305"/>
    <w:rsid w:val="00602DA1"/>
    <w:rsid w:val="00611820"/>
    <w:rsid w:val="00624D40"/>
    <w:rsid w:val="00627C98"/>
    <w:rsid w:val="006302D4"/>
    <w:rsid w:val="00633466"/>
    <w:rsid w:val="00636A8D"/>
    <w:rsid w:val="00657C3F"/>
    <w:rsid w:val="00665F1D"/>
    <w:rsid w:val="0067511E"/>
    <w:rsid w:val="00691CFB"/>
    <w:rsid w:val="00692342"/>
    <w:rsid w:val="00693F14"/>
    <w:rsid w:val="006964B6"/>
    <w:rsid w:val="00697100"/>
    <w:rsid w:val="006A3E87"/>
    <w:rsid w:val="006C0B56"/>
    <w:rsid w:val="006E09A0"/>
    <w:rsid w:val="006E1792"/>
    <w:rsid w:val="007030B2"/>
    <w:rsid w:val="00713B26"/>
    <w:rsid w:val="00716BB6"/>
    <w:rsid w:val="0072171E"/>
    <w:rsid w:val="00722CAB"/>
    <w:rsid w:val="00727F21"/>
    <w:rsid w:val="007369EF"/>
    <w:rsid w:val="00761B1B"/>
    <w:rsid w:val="00765F18"/>
    <w:rsid w:val="00767356"/>
    <w:rsid w:val="007A3528"/>
    <w:rsid w:val="007F523C"/>
    <w:rsid w:val="0080430F"/>
    <w:rsid w:val="00804CBD"/>
    <w:rsid w:val="00805F77"/>
    <w:rsid w:val="00822A4B"/>
    <w:rsid w:val="00827D2A"/>
    <w:rsid w:val="00841DD2"/>
    <w:rsid w:val="00851DCE"/>
    <w:rsid w:val="008823BE"/>
    <w:rsid w:val="008B2237"/>
    <w:rsid w:val="008F53B1"/>
    <w:rsid w:val="008F6DD6"/>
    <w:rsid w:val="008F7719"/>
    <w:rsid w:val="009149DB"/>
    <w:rsid w:val="009442B0"/>
    <w:rsid w:val="0094780F"/>
    <w:rsid w:val="0095384E"/>
    <w:rsid w:val="00964E6D"/>
    <w:rsid w:val="00977444"/>
    <w:rsid w:val="0098537D"/>
    <w:rsid w:val="00986BCD"/>
    <w:rsid w:val="00986D97"/>
    <w:rsid w:val="00996541"/>
    <w:rsid w:val="00997579"/>
    <w:rsid w:val="009A75B8"/>
    <w:rsid w:val="009B3AC6"/>
    <w:rsid w:val="009F1150"/>
    <w:rsid w:val="009F1AB7"/>
    <w:rsid w:val="009F3975"/>
    <w:rsid w:val="00A0186B"/>
    <w:rsid w:val="00A023B7"/>
    <w:rsid w:val="00A11910"/>
    <w:rsid w:val="00A44B4C"/>
    <w:rsid w:val="00A507F0"/>
    <w:rsid w:val="00A92E9F"/>
    <w:rsid w:val="00A94005"/>
    <w:rsid w:val="00A95781"/>
    <w:rsid w:val="00AA2ECF"/>
    <w:rsid w:val="00AC53A4"/>
    <w:rsid w:val="00AD4E95"/>
    <w:rsid w:val="00AE3387"/>
    <w:rsid w:val="00AE4493"/>
    <w:rsid w:val="00AE4D34"/>
    <w:rsid w:val="00B22238"/>
    <w:rsid w:val="00B24591"/>
    <w:rsid w:val="00B277E1"/>
    <w:rsid w:val="00B307F1"/>
    <w:rsid w:val="00B4703B"/>
    <w:rsid w:val="00B53B3C"/>
    <w:rsid w:val="00B60297"/>
    <w:rsid w:val="00BA04E1"/>
    <w:rsid w:val="00BC0431"/>
    <w:rsid w:val="00BC27E8"/>
    <w:rsid w:val="00BD136B"/>
    <w:rsid w:val="00BE4703"/>
    <w:rsid w:val="00BE789E"/>
    <w:rsid w:val="00C044C7"/>
    <w:rsid w:val="00C30DB8"/>
    <w:rsid w:val="00C313DC"/>
    <w:rsid w:val="00C35A9B"/>
    <w:rsid w:val="00C42B9C"/>
    <w:rsid w:val="00C45DD1"/>
    <w:rsid w:val="00C6371F"/>
    <w:rsid w:val="00C943ED"/>
    <w:rsid w:val="00CA30C6"/>
    <w:rsid w:val="00CD5834"/>
    <w:rsid w:val="00CE0320"/>
    <w:rsid w:val="00CE3551"/>
    <w:rsid w:val="00CE3BFD"/>
    <w:rsid w:val="00CF505B"/>
    <w:rsid w:val="00D01D46"/>
    <w:rsid w:val="00D03C03"/>
    <w:rsid w:val="00D24026"/>
    <w:rsid w:val="00D338AE"/>
    <w:rsid w:val="00D42EC8"/>
    <w:rsid w:val="00D43E4B"/>
    <w:rsid w:val="00D558EA"/>
    <w:rsid w:val="00D56485"/>
    <w:rsid w:val="00DA31B6"/>
    <w:rsid w:val="00DC2A6F"/>
    <w:rsid w:val="00DD6264"/>
    <w:rsid w:val="00DE32A7"/>
    <w:rsid w:val="00DE4AC5"/>
    <w:rsid w:val="00DF4B9A"/>
    <w:rsid w:val="00DF7346"/>
    <w:rsid w:val="00DF7DD6"/>
    <w:rsid w:val="00E1777A"/>
    <w:rsid w:val="00E21FE6"/>
    <w:rsid w:val="00E22C84"/>
    <w:rsid w:val="00E255DB"/>
    <w:rsid w:val="00E42CE6"/>
    <w:rsid w:val="00E43CD3"/>
    <w:rsid w:val="00E5310A"/>
    <w:rsid w:val="00E5509B"/>
    <w:rsid w:val="00E61ACD"/>
    <w:rsid w:val="00EA561F"/>
    <w:rsid w:val="00EB3B90"/>
    <w:rsid w:val="00EB5984"/>
    <w:rsid w:val="00EB7E4B"/>
    <w:rsid w:val="00EC2A2F"/>
    <w:rsid w:val="00EC6762"/>
    <w:rsid w:val="00ED35D5"/>
    <w:rsid w:val="00EE7A2B"/>
    <w:rsid w:val="00EF037B"/>
    <w:rsid w:val="00F0273D"/>
    <w:rsid w:val="00F3350A"/>
    <w:rsid w:val="00F41BF3"/>
    <w:rsid w:val="00F50BD5"/>
    <w:rsid w:val="00F57E2F"/>
    <w:rsid w:val="00F63D39"/>
    <w:rsid w:val="00F73802"/>
    <w:rsid w:val="00F82912"/>
    <w:rsid w:val="00F94F5A"/>
    <w:rsid w:val="00F95722"/>
    <w:rsid w:val="00FA0E1C"/>
    <w:rsid w:val="00FE05F9"/>
    <w:rsid w:val="00FE22C8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1079-618D-4FDB-BE34-E17FD60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A2ECF"/>
    <w:rPr>
      <w:color w:val="0563C1"/>
      <w:u w:val="single"/>
    </w:rPr>
  </w:style>
  <w:style w:type="paragraph" w:customStyle="1" w:styleId="ConsPlusNonformat">
    <w:name w:val="ConsPlusNonformat"/>
    <w:rsid w:val="000B76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fondsr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ndsr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63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mailto:info@fondsrd.ru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Пользователь</cp:lastModifiedBy>
  <cp:revision>2</cp:revision>
  <cp:lastPrinted>2023-08-22T09:40:00Z</cp:lastPrinted>
  <dcterms:created xsi:type="dcterms:W3CDTF">2023-12-21T05:20:00Z</dcterms:created>
  <dcterms:modified xsi:type="dcterms:W3CDTF">2023-12-21T05:20:00Z</dcterms:modified>
</cp:coreProperties>
</file>