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tabs>
          <w:tab w:val="left" w:pos="4536" w:leader="none"/>
        </w:tabs>
        <w:rPr>
          <w:rFonts w:ascii="Times New Roman" w:hAnsi="Times New Roman" w:eastAsia="Calibri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Calibri"/>
          <w:color w:val="auto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140" cy="80327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214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.2pt;height:63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2"/>
        <w:jc w:val="center"/>
        <w:tabs>
          <w:tab w:val="left" w:pos="4536" w:leader="none"/>
        </w:tabs>
        <w:rPr>
          <w:rFonts w:ascii="Times New Roman" w:hAnsi="Times New Roman" w:eastAsia="Calibri"/>
          <w:color w:val="auto"/>
          <w:sz w:val="28"/>
          <w:szCs w:val="28"/>
        </w:rPr>
      </w:pPr>
      <w:r>
        <w:rPr>
          <w:rFonts w:ascii="Times New Roman" w:hAnsi="Times New Roman" w:eastAsia="Calibri"/>
          <w:color w:val="auto"/>
          <w:sz w:val="28"/>
          <w:szCs w:val="28"/>
          <w:highlight w:val="none"/>
        </w:rPr>
      </w:r>
      <w:r>
        <w:rPr>
          <w:rFonts w:ascii="Times New Roman" w:hAnsi="Times New Roman" w:eastAsia="Calibri"/>
          <w:color w:val="auto"/>
          <w:sz w:val="28"/>
          <w:szCs w:val="28"/>
          <w:highlight w:val="none"/>
        </w:rPr>
      </w:r>
      <w:r/>
    </w:p>
    <w:p>
      <w:pPr>
        <w:pStyle w:val="842"/>
        <w:jc w:val="center"/>
        <w:tabs>
          <w:tab w:val="left" w:pos="4536" w:leader="none"/>
        </w:tabs>
        <w:rPr>
          <w:sz w:val="28"/>
          <w:szCs w:val="28"/>
        </w:rPr>
      </w:pPr>
      <w:r>
        <w:rPr>
          <w:rFonts w:ascii="Times New Roman" w:hAnsi="Times New Roman" w:eastAsia="Calibri"/>
          <w:color w:val="auto"/>
          <w:sz w:val="28"/>
          <w:szCs w:val="28"/>
        </w:rPr>
      </w: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Цимлянского района</w:t>
      </w:r>
      <w:r/>
    </w:p>
    <w:p>
      <w:pPr>
        <w:pStyle w:val="842"/>
        <w:ind w:right="-2"/>
        <w:jc w:val="center"/>
        <w:tabs>
          <w:tab w:val="left" w:pos="4536" w:leader="none"/>
        </w:tabs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</w:r>
      <w:r>
        <w:rPr>
          <w:b w:val="0"/>
          <w:sz w:val="28"/>
        </w:rPr>
      </w:r>
      <w:r/>
    </w:p>
    <w:p>
      <w:pPr>
        <w:pStyle w:val="842"/>
        <w:ind w:right="-2"/>
        <w:jc w:val="center"/>
        <w:tabs>
          <w:tab w:val="left" w:pos="4536" w:leader="none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ПОСТАНОВЛЕНИЕ</w:t>
      </w:r>
      <w:r/>
    </w:p>
    <w:p>
      <w:pPr>
        <w:pStyle w:val="842"/>
        <w:ind w:left="-540" w:right="-604"/>
        <w:jc w:val="center"/>
        <w:rPr>
          <w:rFonts w:ascii="Times New Roman" w:hAnsi="Times New Roman"/>
          <w:b w:val="0"/>
          <w:bCs/>
          <w:sz w:val="28"/>
          <w:szCs w:val="16"/>
        </w:rPr>
      </w:pPr>
      <w:r>
        <w:rPr>
          <w:rFonts w:ascii="Times New Roman" w:hAnsi="Times New Roman"/>
          <w:b w:val="0"/>
          <w:bCs/>
          <w:sz w:val="28"/>
          <w:szCs w:val="16"/>
        </w:rPr>
      </w:r>
      <w:r>
        <w:rPr>
          <w:b w:val="0"/>
          <w:sz w:val="28"/>
        </w:rPr>
      </w:r>
      <w:r/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__.10</w:t>
      </w:r>
      <w:r>
        <w:rPr>
          <w:sz w:val="28"/>
          <w:szCs w:val="28"/>
        </w:rPr>
        <w:t xml:space="preserve">.2022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г. Цимлянск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-108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/>
    </w:p>
    <w:p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  <w:r/>
    </w:p>
    <w:p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от 26.12.2017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814 «Об 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left="-108"/>
      </w:pPr>
      <w:r>
        <w:rPr>
          <w:sz w:val="28"/>
          <w:szCs w:val="28"/>
        </w:rPr>
        <w:t xml:space="preserve">Положения о порядке предоставления</w:t>
      </w:r>
      <w:r>
        <w:rPr>
          <w:sz w:val="28"/>
          <w:szCs w:val="28"/>
        </w:rPr>
      </w:r>
      <w:r/>
    </w:p>
    <w:p>
      <w:pPr>
        <w:ind w:left="-108"/>
        <w:rPr>
          <w:sz w:val="28"/>
        </w:rPr>
      </w:pPr>
      <w:r>
        <w:rPr>
          <w:sz w:val="28"/>
          <w:szCs w:val="28"/>
        </w:rPr>
        <w:t xml:space="preserve">субсидии предприятиям ЖКХ на 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возмещение части платы граждан</w:t>
      </w:r>
      <w:r>
        <w:rPr>
          <w:color w:val="000000"/>
          <w:sz w:val="28"/>
          <w:szCs w:val="28"/>
        </w:rPr>
        <w:t xml:space="preserve"> за 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коммунальные услуги </w:t>
      </w:r>
      <w:r>
        <w:rPr>
          <w:color w:val="000000"/>
          <w:sz w:val="28"/>
          <w:szCs w:val="28"/>
        </w:rPr>
        <w:t xml:space="preserve">в объеме, 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превышающем установленные </w:t>
      </w:r>
      <w:r>
        <w:rPr>
          <w:color w:val="000000"/>
          <w:sz w:val="28"/>
          <w:szCs w:val="28"/>
        </w:rPr>
        <w:t xml:space="preserve">индексы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максимального роста размера платы 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за коммунальные услуги»</w:t>
      </w:r>
      <w:r>
        <w:rPr>
          <w:sz w:val="28"/>
        </w:rPr>
      </w:r>
      <w:r/>
    </w:p>
    <w:p>
      <w:pPr>
        <w:jc w:val="center"/>
        <w:rPr>
          <w:sz w:val="28"/>
          <w:szCs w:val="20"/>
        </w:rPr>
      </w:pPr>
      <w:r>
        <w:rPr>
          <w:sz w:val="28"/>
          <w:szCs w:val="20"/>
        </w:rPr>
      </w:r>
      <w:r>
        <w:rPr>
          <w:sz w:val="28"/>
        </w:rPr>
      </w:r>
      <w:r/>
    </w:p>
    <w:p>
      <w:pPr>
        <w:ind w:firstLine="708"/>
        <w:jc w:val="both"/>
        <w:rPr>
          <w:sz w:val="28"/>
          <w:highlight w:val="none"/>
        </w:rPr>
      </w:pPr>
      <w:r>
        <w:rPr>
          <w:sz w:val="28"/>
        </w:rPr>
        <w:t xml:space="preserve">В целях </w:t>
      </w:r>
      <w:r>
        <w:rPr>
          <w:sz w:val="28"/>
          <w:szCs w:val="28"/>
        </w:rPr>
        <w:t xml:space="preserve">приведения нормативного правового акта в соответствие с действующим законодательством, </w:t>
      </w:r>
      <w:r>
        <w:rPr>
          <w:sz w:val="28"/>
        </w:rPr>
        <w:t xml:space="preserve">в связи с допущенной технической ошибкой, </w:t>
      </w:r>
      <w:r>
        <w:rPr>
          <w:sz w:val="28"/>
          <w:szCs w:val="28"/>
        </w:rPr>
        <w:t xml:space="preserve">Администрация Цимлянского района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ПОСТАНОВЛЯЕТ:</w:t>
      </w:r>
      <w:r/>
    </w:p>
    <w:p>
      <w:pPr>
        <w:jc w:val="center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приложение к постановлению</w:t>
      </w:r>
      <w:r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нистрации Цимлянского района от </w:t>
      </w:r>
      <w:r>
        <w:rPr>
          <w:sz w:val="28"/>
          <w:szCs w:val="28"/>
        </w:rPr>
        <w:t xml:space="preserve">26.12.2017 № 814 «Об утверждении</w:t>
      </w:r>
      <w:r>
        <w:rPr>
          <w:sz w:val="28"/>
          <w:szCs w:val="28"/>
        </w:rPr>
        <w:t xml:space="preserve"> Положения о порядке предоставления субсидии предприятиям ЖКХ на возмещение части платы граждан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коммунальные услуги в объеме, превышающем установленные индексы максимального роста размера платы граждан за коммунальные услуги» следующие изменения</w:t>
      </w:r>
      <w:r>
        <w:rPr>
          <w:color w:val="000000"/>
          <w:sz w:val="28"/>
          <w:szCs w:val="28"/>
        </w:rPr>
        <w:t xml:space="preserve">: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 2.10.7 пункта 2.10</w:t>
      </w:r>
      <w:r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зложить в следующей редакции: 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«2.10.7 </w:t>
      </w:r>
      <w:r>
        <w:rPr>
          <w:sz w:val="28"/>
          <w:szCs w:val="28"/>
        </w:rPr>
        <w:t xml:space="preserve">Администрация в течение 2 рабочих дней со дня принятия решения, указанного в </w:t>
      </w:r>
      <w:hyperlink r:id="rId12" w:tooltip="consultantplus://offline/ref=4B2F6FC3168B1049104A35D39DBF77745D2E2A5751F269051D34DA352C9965D216B6216961E30A2BC51D32BCA9C446E6A87BB637B4F3580AB86A22CFUDwBN" w:history="1">
        <w:r>
          <w:rPr>
            <w:sz w:val="28"/>
            <w:szCs w:val="28"/>
          </w:rPr>
          <w:t xml:space="preserve">пункте 2.10.3</w:t>
        </w:r>
      </w:hyperlink>
      <w:r>
        <w:rPr>
          <w:sz w:val="28"/>
          <w:szCs w:val="28"/>
        </w:rPr>
        <w:t xml:space="preserve">. настоящего Порядка, уведомляет участника отбора о принятом решении путем размещения информации на официальном сайте Администрации Цимлянского рай</w:t>
      </w:r>
      <w:r>
        <w:rPr>
          <w:sz w:val="28"/>
          <w:szCs w:val="28"/>
        </w:rPr>
        <w:t xml:space="preserve">она в информационно-телекоммуникационной сети «Интернет» (https://www.cimlyanskiyrayon.ru)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разделе 5 и подпункте 5.1 слова «целей» исключить.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своё действие на правоотношения, возникшие с 01.01.2022 года.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Администрации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В.В. Светличный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Постановление вносит отдел строительства </w:t>
      </w: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и муниципального хозяйства</w:t>
      </w: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Администрации района</w:t>
      </w:r>
      <w:r>
        <w:rPr>
          <w:color w:val="000000"/>
          <w:sz w:val="18"/>
          <w:szCs w:val="1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45"/>
    <w:next w:val="845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45"/>
    <w:next w:val="845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834"/>
    <w:link w:val="833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45"/>
    <w:next w:val="845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4">
    <w:name w:val="Heading 4 Char"/>
    <w:basedOn w:val="834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45"/>
    <w:next w:val="845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6">
    <w:name w:val="Heading 5 Char"/>
    <w:basedOn w:val="834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45"/>
    <w:next w:val="845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8">
    <w:name w:val="Heading 6 Char"/>
    <w:basedOn w:val="834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45"/>
    <w:next w:val="845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0">
    <w:name w:val="Heading 7 Char"/>
    <w:basedOn w:val="834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45"/>
    <w:next w:val="845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2">
    <w:name w:val="Heading 8 Char"/>
    <w:basedOn w:val="834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45"/>
    <w:next w:val="845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4">
    <w:name w:val="Heading 9 Char"/>
    <w:basedOn w:val="83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845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45"/>
    <w:next w:val="845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45"/>
    <w:next w:val="845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45"/>
    <w:next w:val="845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45"/>
    <w:next w:val="845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48"/>
    <w:uiPriority w:val="99"/>
  </w:style>
  <w:style w:type="character" w:styleId="686">
    <w:name w:val="Footer Char"/>
    <w:basedOn w:val="834"/>
    <w:link w:val="850"/>
    <w:uiPriority w:val="99"/>
  </w:style>
  <w:style w:type="paragraph" w:styleId="687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50"/>
    <w:uiPriority w:val="99"/>
  </w:style>
  <w:style w:type="table" w:styleId="689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45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45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4"/>
      <w:szCs w:val="24"/>
    </w:rPr>
  </w:style>
  <w:style w:type="paragraph" w:styleId="833">
    <w:name w:val="Heading 3"/>
    <w:basedOn w:val="832"/>
    <w:link w:val="854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34" w:default="1">
    <w:name w:val="Default Paragraph Font"/>
    <w:semiHidden/>
  </w:style>
  <w:style w:type="table" w:styleId="835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semiHidden/>
  </w:style>
  <w:style w:type="paragraph" w:styleId="837" w:customStyle="1">
    <w:name w:val="ConsNonformat"/>
    <w:pPr>
      <w:widowControl w:val="off"/>
    </w:pPr>
    <w:rPr>
      <w:rFonts w:ascii="Courier New" w:hAnsi="Courier New"/>
    </w:rPr>
  </w:style>
  <w:style w:type="paragraph" w:styleId="838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39">
    <w:name w:val="Balloon Text"/>
    <w:basedOn w:val="832"/>
    <w:semiHidden/>
    <w:rPr>
      <w:rFonts w:ascii="Tahoma" w:hAnsi="Tahoma" w:cs="Tahoma"/>
      <w:sz w:val="16"/>
      <w:szCs w:val="16"/>
    </w:rPr>
  </w:style>
  <w:style w:type="paragraph" w:styleId="840">
    <w:name w:val="Body Text"/>
    <w:basedOn w:val="832"/>
    <w:pPr>
      <w:jc w:val="both"/>
    </w:pPr>
    <w:rPr>
      <w:sz w:val="28"/>
    </w:rPr>
  </w:style>
  <w:style w:type="paragraph" w:styleId="841" w:customStyle="1">
    <w:name w:val=" Знак Знак Знак1 Знак"/>
    <w:basedOn w:val="832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42">
    <w:name w:val="Plain Text"/>
    <w:basedOn w:val="832"/>
    <w:link w:val="847"/>
    <w:uiPriority w:val="99"/>
    <w:rPr>
      <w:rFonts w:ascii="Courier New" w:hAnsi="Courier New"/>
      <w:color w:val="000000"/>
      <w:sz w:val="20"/>
      <w:szCs w:val="20"/>
    </w:rPr>
  </w:style>
  <w:style w:type="paragraph" w:styleId="843" w:customStyle="1">
    <w:name w:val="Знак Знак Знак1 Знак"/>
    <w:basedOn w:val="832"/>
    <w:pPr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44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45" w:customStyle="1">
    <w:name w:val="Normal"/>
    <w:pPr>
      <w:ind w:left="40" w:firstLine="720"/>
      <w:jc w:val="both"/>
      <w:spacing w:line="300" w:lineRule="auto"/>
      <w:widowControl w:val="off"/>
    </w:pPr>
    <w:rPr>
      <w:sz w:val="24"/>
    </w:rPr>
  </w:style>
  <w:style w:type="paragraph" w:styleId="846" w:customStyle="1">
    <w:name w:val=" Знак Знак2 Знак Знак Знак Знак Знак Знак"/>
    <w:basedOn w:val="832"/>
    <w:link w:val="834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847" w:customStyle="1">
    <w:name w:val="Текст Знак"/>
    <w:link w:val="842"/>
    <w:uiPriority w:val="99"/>
    <w:rPr>
      <w:rFonts w:ascii="Courier New" w:hAnsi="Courier New"/>
      <w:color w:val="000000"/>
    </w:rPr>
  </w:style>
  <w:style w:type="paragraph" w:styleId="848">
    <w:name w:val="Header"/>
    <w:basedOn w:val="832"/>
    <w:link w:val="84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link w:val="848"/>
    <w:rPr>
      <w:sz w:val="24"/>
      <w:szCs w:val="24"/>
    </w:rPr>
  </w:style>
  <w:style w:type="paragraph" w:styleId="850">
    <w:name w:val="Footer"/>
    <w:basedOn w:val="832"/>
    <w:link w:val="851"/>
    <w:uiPriority w:val="99"/>
    <w:pPr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link w:val="850"/>
    <w:uiPriority w:val="99"/>
    <w:rPr>
      <w:sz w:val="24"/>
      <w:szCs w:val="24"/>
    </w:rPr>
  </w:style>
  <w:style w:type="table" w:styleId="852">
    <w:name w:val="Table Grid"/>
    <w:basedOn w:val="83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етка таблицы1"/>
    <w:basedOn w:val="835"/>
    <w:next w:val="852"/>
    <w:uiPriority w:val="59"/>
    <w:pPr>
      <w:jc w:val="both"/>
      <w:spacing w:before="120" w:after="120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4" w:customStyle="1">
    <w:name w:val="Заголовок 3 Знак"/>
    <w:link w:val="833"/>
    <w:rPr>
      <w:b/>
      <w:bCs/>
      <w:sz w:val="27"/>
      <w:szCs w:val="27"/>
    </w:rPr>
  </w:style>
  <w:style w:type="paragraph" w:styleId="855" w:customStyle="1">
    <w:name w:val="Абзац списка1"/>
    <w:basedOn w:val="832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856">
    <w:name w:val="Normal (Web)"/>
    <w:basedOn w:val="832"/>
    <w:pPr>
      <w:spacing w:before="30" w:after="3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4B2F6FC3168B1049104A35D39DBF77745D2E2A5751F269051D34DA352C9965D216B6216961E30A2BC51D32BCA9C446E6A87BB637B4F3580AB86A22CFUDwB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144-30E1-4C8E-AC4B-FECAAA38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Собрание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cp:revision>8</cp:revision>
  <dcterms:created xsi:type="dcterms:W3CDTF">2021-06-01T13:37:00Z</dcterms:created>
  <dcterms:modified xsi:type="dcterms:W3CDTF">2022-10-06T11:50:51Z</dcterms:modified>
</cp:coreProperties>
</file>