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4536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>
            <wp:extent cx="612140" cy="8032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12140" cy="803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16"/>
        </w:rPr>
      </w:pPr>
    </w:p>
    <w:p w14:paraId="0500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caps w:val="1"/>
        </w:rPr>
      </w:pPr>
      <w:r>
        <w:rPr>
          <w:rFonts w:ascii="Times New Roman" w:hAnsi="Times New Roman"/>
          <w:b w:val="1"/>
          <w:caps w:val="1"/>
        </w:rPr>
        <w:t>АДМИНИСТРАЦИЯ</w:t>
      </w:r>
      <w:r>
        <w:rPr>
          <w:rFonts w:ascii="Times New Roman" w:hAnsi="Times New Roman"/>
          <w:b w:val="1"/>
          <w:caps w:val="1"/>
        </w:rPr>
        <w:t xml:space="preserve"> Цимлянского района</w:t>
      </w:r>
    </w:p>
    <w:p w14:paraId="0600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caps w:val="1"/>
          <w:sz w:val="16"/>
        </w:rPr>
      </w:pPr>
    </w:p>
    <w:p w14:paraId="0700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ПОСТАНОВЛЕНИЕ</w:t>
      </w:r>
    </w:p>
    <w:p w14:paraId="08000000">
      <w:pPr>
        <w:tabs>
          <w:tab w:leader="none" w:pos="4536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sz w:val="16"/>
        </w:rPr>
      </w:pPr>
    </w:p>
    <w:p w14:paraId="09000000">
      <w:pPr>
        <w:spacing w:after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___.___.</w:t>
      </w:r>
      <w:r>
        <w:rPr>
          <w:rFonts w:ascii="Times New Roman" w:hAnsi="Times New Roman"/>
          <w:color w:val="000000"/>
        </w:rPr>
        <w:t>2022</w:t>
      </w:r>
      <w:r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             №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г. Цимлянск</w:t>
      </w:r>
    </w:p>
    <w:p w14:paraId="0A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16"/>
        </w:rPr>
      </w:pPr>
    </w:p>
    <w:p w14:paraId="0B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 утверждении Программы </w:t>
      </w:r>
      <w:r>
        <w:rPr>
          <w:rFonts w:ascii="Times New Roman" w:hAnsi="Times New Roman"/>
          <w:color w:val="000000"/>
        </w:rPr>
        <w:t xml:space="preserve">профилактики </w:t>
      </w:r>
    </w:p>
    <w:p w14:paraId="0C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нарушений</w:t>
      </w:r>
      <w:r>
        <w:rPr>
          <w:rFonts w:ascii="Times New Roman" w:hAnsi="Times New Roman"/>
          <w:color w:val="000000"/>
        </w:rPr>
        <w:t xml:space="preserve"> обязательных </w:t>
      </w:r>
      <w:r>
        <w:rPr>
          <w:rFonts w:ascii="Times New Roman" w:hAnsi="Times New Roman"/>
          <w:color w:val="000000"/>
        </w:rPr>
        <w:t xml:space="preserve">требований, </w:t>
      </w:r>
      <w:r>
        <w:rPr>
          <w:rFonts w:ascii="Times New Roman" w:hAnsi="Times New Roman"/>
          <w:color w:val="000000"/>
        </w:rPr>
        <w:t xml:space="preserve"> </w:t>
      </w:r>
    </w:p>
    <w:p w14:paraId="0D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устано</w:t>
      </w:r>
      <w:r>
        <w:rPr>
          <w:rFonts w:ascii="Times New Roman" w:hAnsi="Times New Roman"/>
          <w:color w:val="000000"/>
        </w:rPr>
        <w:t>вленных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правовыми </w:t>
      </w:r>
    </w:p>
    <w:p w14:paraId="0E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актами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организации и осуществлению </w:t>
      </w:r>
    </w:p>
    <w:p w14:paraId="0F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земельного контроля </w:t>
      </w:r>
      <w:r>
        <w:rPr>
          <w:rFonts w:ascii="Times New Roman" w:hAnsi="Times New Roman"/>
          <w:color w:val="000000"/>
        </w:rPr>
        <w:t>на 2023 год</w:t>
      </w:r>
      <w:r>
        <w:rPr>
          <w:rFonts w:ascii="Times New Roman" w:hAnsi="Times New Roman"/>
          <w:color w:val="000000"/>
        </w:rPr>
        <w:t xml:space="preserve"> </w:t>
      </w:r>
    </w:p>
    <w:p w14:paraId="10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16"/>
        </w:rPr>
      </w:pPr>
    </w:p>
    <w:p w14:paraId="11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со статьей 44 Федерального закона от 31.07.2020 № 248-ФЗ «О государственном контроле (надзоре) и муниципальном контроле в Российской </w:t>
      </w:r>
      <w:r>
        <w:rPr>
          <w:rFonts w:ascii="Times New Roman" w:hAnsi="Times New Roman"/>
          <w:color w:val="000000"/>
        </w:rPr>
        <w:t xml:space="preserve">Федерации», руководствуясь постановлением Правительства Российской Федерации от 25.06.2021 № 990 «Об утверждении Правил разработки и утверждении контрольными (надзорными) органами программы профилактики </w:t>
      </w:r>
      <w:r>
        <w:rPr>
          <w:rFonts w:ascii="Times New Roman" w:hAnsi="Times New Roman"/>
          <w:color w:val="000000"/>
        </w:rPr>
        <w:t xml:space="preserve"> рисков </w:t>
      </w:r>
      <w:r>
        <w:rPr>
          <w:rFonts w:ascii="Times New Roman" w:hAnsi="Times New Roman"/>
          <w:color w:val="000000"/>
        </w:rPr>
        <w:t>причинения</w:t>
      </w:r>
      <w:r>
        <w:rPr>
          <w:rFonts w:ascii="Times New Roman" w:hAnsi="Times New Roman"/>
          <w:color w:val="000000"/>
        </w:rPr>
        <w:t xml:space="preserve"> вреда (ущерба) охраняемым законом ценностям», руководствуя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ь Уставом муниципального образования</w:t>
      </w:r>
      <w:r>
        <w:rPr>
          <w:rFonts w:ascii="Times New Roman" w:hAnsi="Times New Roman"/>
          <w:color w:val="000000"/>
        </w:rPr>
        <w:t xml:space="preserve"> «Цимлянский район», А</w:t>
      </w:r>
      <w:r>
        <w:rPr>
          <w:rFonts w:ascii="Times New Roman" w:hAnsi="Times New Roman"/>
          <w:color w:val="000000"/>
        </w:rPr>
        <w:t>дминистрация Цимлянского района</w:t>
      </w:r>
    </w:p>
    <w:p w14:paraId="12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  <w:sz w:val="16"/>
        </w:rPr>
      </w:pPr>
    </w:p>
    <w:p w14:paraId="13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ПОСТАНОВЛЯЕТ</w:t>
      </w:r>
      <w:r>
        <w:rPr>
          <w:rFonts w:ascii="Times New Roman" w:hAnsi="Times New Roman"/>
          <w:color w:val="000000"/>
        </w:rPr>
        <w:t>:</w:t>
      </w:r>
    </w:p>
    <w:p w14:paraId="14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16"/>
        </w:rPr>
      </w:pPr>
    </w:p>
    <w:p w14:paraId="15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 xml:space="preserve">Утвердить </w:t>
      </w:r>
      <w:r>
        <w:rPr>
          <w:rFonts w:ascii="Times New Roman" w:hAnsi="Times New Roman"/>
          <w:color w:val="000000"/>
        </w:rPr>
        <w:t>Программу</w:t>
      </w:r>
      <w:r>
        <w:rPr>
          <w:rFonts w:ascii="Times New Roman" w:hAnsi="Times New Roman"/>
          <w:color w:val="000000"/>
        </w:rPr>
        <w:t xml:space="preserve">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>
        <w:rPr>
          <w:rFonts w:ascii="Times New Roman" w:hAnsi="Times New Roman"/>
          <w:color w:val="000000"/>
        </w:rPr>
        <w:t>, согласно приложению</w:t>
      </w:r>
      <w:r>
        <w:rPr>
          <w:rFonts w:ascii="Times New Roman" w:hAnsi="Times New Roman"/>
          <w:color w:val="000000"/>
        </w:rPr>
        <w:t xml:space="preserve"> № 1</w:t>
      </w:r>
      <w:r>
        <w:rPr>
          <w:rFonts w:ascii="Times New Roman" w:hAnsi="Times New Roman"/>
          <w:color w:val="000000"/>
        </w:rPr>
        <w:t>.</w:t>
      </w:r>
    </w:p>
    <w:p w14:paraId="16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Утвердить Перечень профилактических мероприятий</w:t>
      </w:r>
      <w:r>
        <w:rPr>
          <w:rFonts w:ascii="Times New Roman" w:hAnsi="Times New Roman"/>
          <w:color w:val="000000"/>
        </w:rPr>
        <w:t xml:space="preserve"> Программы профилактики </w:t>
      </w:r>
      <w:r>
        <w:rPr>
          <w:rFonts w:ascii="Times New Roman" w:hAnsi="Times New Roman"/>
          <w:color w:val="000000"/>
        </w:rPr>
        <w:t>нарушений обязательных требований, установ</w:t>
      </w:r>
      <w:r>
        <w:rPr>
          <w:rFonts w:ascii="Times New Roman" w:hAnsi="Times New Roman"/>
          <w:color w:val="000000"/>
        </w:rPr>
        <w:t xml:space="preserve">ленных муниципальными правовыми </w:t>
      </w:r>
      <w:r>
        <w:rPr>
          <w:rFonts w:ascii="Times New Roman" w:hAnsi="Times New Roman"/>
          <w:color w:val="000000"/>
        </w:rPr>
        <w:t>актами по организации и осуществлению муниципального земельного контроля на 2023 год</w:t>
      </w:r>
      <w:r>
        <w:rPr>
          <w:rFonts w:ascii="Times New Roman" w:hAnsi="Times New Roman"/>
          <w:color w:val="000000"/>
        </w:rPr>
        <w:t>, согласно приложению № 2</w:t>
      </w:r>
      <w:r>
        <w:rPr>
          <w:rFonts w:ascii="Times New Roman" w:hAnsi="Times New Roman"/>
          <w:color w:val="000000"/>
        </w:rPr>
        <w:t>.</w:t>
      </w:r>
    </w:p>
    <w:p w14:paraId="17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Разместить настоящее постановление на официальном сайте Администрации Цимлянского района.</w:t>
      </w:r>
    </w:p>
    <w:p w14:paraId="18000000">
      <w:pPr>
        <w:widowControl w:val="0"/>
        <w:spacing w:after="0" w:line="240" w:lineRule="auto"/>
        <w:ind w:firstLine="709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Контроль за выполнением постановления возложить на первого заместителя главы Администрации Цимлянского района Ночевкину Е.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Н.</w:t>
      </w:r>
    </w:p>
    <w:p w14:paraId="19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color w:val="000000"/>
        </w:rPr>
      </w:pPr>
    </w:p>
    <w:p w14:paraId="1A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color w:val="000000"/>
        </w:rPr>
      </w:pPr>
    </w:p>
    <w:p w14:paraId="1B000000">
      <w:pPr>
        <w:spacing w:after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Администрации </w:t>
      </w:r>
    </w:p>
    <w:p w14:paraId="1C000000">
      <w:pPr>
        <w:spacing w:after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Цимлянского района                                                                       В.В. Светличный</w:t>
      </w:r>
    </w:p>
    <w:p w14:paraId="1D000000">
      <w:pPr>
        <w:spacing w:after="0" w:line="240" w:lineRule="auto"/>
        <w:ind w:firstLine="0" w:left="0" w:right="0"/>
        <w:rPr>
          <w:rFonts w:ascii="Times New Roman" w:hAnsi="Times New Roman"/>
          <w:color w:val="000000"/>
        </w:rPr>
      </w:pPr>
    </w:p>
    <w:p w14:paraId="1E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Постановле</w:t>
      </w:r>
      <w:r>
        <w:rPr>
          <w:rFonts w:ascii="Times New Roman" w:hAnsi="Times New Roman"/>
          <w:color w:val="000000"/>
          <w:sz w:val="16"/>
        </w:rPr>
        <w:t>ние вносит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отдел</w:t>
      </w:r>
      <w:r>
        <w:rPr>
          <w:rFonts w:ascii="Courier New" w:hAnsi="Courier New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имущественных и</w:t>
      </w:r>
    </w:p>
    <w:p w14:paraId="1F00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з</w:t>
      </w:r>
      <w:r>
        <w:rPr>
          <w:rFonts w:ascii="Times New Roman" w:hAnsi="Times New Roman"/>
          <w:color w:val="000000"/>
          <w:sz w:val="16"/>
        </w:rPr>
        <w:t>емельных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отношений Администрации района  </w:t>
      </w:r>
    </w:p>
    <w:p w14:paraId="20000000">
      <w:pPr>
        <w:sectPr>
          <w:footerReference r:id="rId1" w:type="default"/>
          <w:pgSz w:h="16838" w:orient="portrait" w:w="11906"/>
          <w:pgMar w:bottom="1134" w:footer="567" w:gutter="0" w:header="567" w:left="1701" w:right="567" w:top="568"/>
        </w:sectPr>
      </w:pPr>
    </w:p>
    <w:p w14:paraId="21000000">
      <w:pPr>
        <w:pStyle w:val="Style_2"/>
        <w:numPr>
          <w:ilvl w:val="0"/>
          <w:numId w:val="0"/>
        </w:numPr>
        <w:ind w:firstLine="0" w:left="383" w:right="-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             </w:t>
      </w:r>
      <w:r>
        <w:rPr>
          <w:rFonts w:ascii="Times New Roman" w:hAnsi="Times New Roman"/>
          <w:b w:val="0"/>
        </w:rPr>
        <w:t>Приложение</w:t>
      </w:r>
      <w:r>
        <w:rPr>
          <w:rFonts w:ascii="Times New Roman" w:hAnsi="Times New Roman"/>
          <w:b w:val="0"/>
        </w:rPr>
        <w:t xml:space="preserve"> №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1</w:t>
      </w:r>
    </w:p>
    <w:p w14:paraId="22000000">
      <w:pPr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Администрации</w:t>
      </w:r>
    </w:p>
    <w:p w14:paraId="23000000">
      <w:pPr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Цимлянского района</w:t>
      </w:r>
    </w:p>
    <w:p w14:paraId="24000000">
      <w:pPr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__.___</w:t>
      </w:r>
      <w:r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___</w:t>
      </w:r>
    </w:p>
    <w:p w14:paraId="25000000">
      <w:pPr>
        <w:ind/>
        <w:jc w:val="right"/>
        <w:rPr>
          <w:rFonts w:ascii="Times New Roman" w:hAnsi="Times New Roman"/>
        </w:rPr>
      </w:pPr>
    </w:p>
    <w:p w14:paraId="26000000">
      <w:pPr>
        <w:spacing w:after="0"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профилактики </w:t>
      </w:r>
    </w:p>
    <w:p w14:paraId="27000000">
      <w:pPr>
        <w:spacing w:after="0"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нарушений</w:t>
      </w:r>
      <w:r>
        <w:rPr>
          <w:rFonts w:ascii="Times New Roman" w:hAnsi="Times New Roman"/>
        </w:rPr>
        <w:t xml:space="preserve"> обязательных требований,  </w:t>
      </w:r>
    </w:p>
    <w:p w14:paraId="28000000">
      <w:pPr>
        <w:spacing w:after="0"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установленных</w:t>
      </w:r>
      <w:r>
        <w:rPr>
          <w:rFonts w:ascii="Times New Roman" w:hAnsi="Times New Roman"/>
        </w:rPr>
        <w:t xml:space="preserve"> муниципальными правовыми </w:t>
      </w:r>
    </w:p>
    <w:p w14:paraId="29000000">
      <w:pPr>
        <w:spacing w:after="0"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по организации и осуществлению </w:t>
      </w:r>
    </w:p>
    <w:p w14:paraId="2A000000">
      <w:pPr>
        <w:spacing w:after="0"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земельного контроля на 2023 год </w:t>
      </w:r>
    </w:p>
    <w:p w14:paraId="2B000000">
      <w:pPr>
        <w:spacing w:after="0" w:line="264" w:lineRule="auto"/>
        <w:ind w:firstLine="0" w:left="0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tbl>
      <w:tblPr>
        <w:tblStyle w:val="Style_3"/>
        <w:tblLayout w:type="fixed"/>
        <w:tblCellMar>
          <w:top w:type="dxa" w:w="65"/>
          <w:left w:type="dxa" w:w="106"/>
          <w:right w:type="dxa" w:w="40"/>
        </w:tblCellMar>
      </w:tblPr>
      <w:tblGrid>
        <w:gridCol w:w="2542"/>
        <w:gridCol w:w="7097"/>
      </w:tblGrid>
      <w:tr>
        <w:trPr>
          <w:trHeight w:hRule="atLeast" w:val="737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2C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2D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«Программа профилактики нарушений обязательных требований законодательства в сфере муниципального </w:t>
            </w:r>
            <w:r>
              <w:rPr>
                <w:rFonts w:ascii="Times New Roman" w:hAnsi="Times New Roman"/>
                <w:sz w:val="28"/>
              </w:rPr>
              <w:t>земельного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контроля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2023 </w:t>
            </w:r>
            <w:r>
              <w:rPr>
                <w:rFonts w:ascii="Times New Roman" w:hAnsi="Times New Roman"/>
                <w:sz w:val="28"/>
              </w:rPr>
              <w:t xml:space="preserve">год 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1600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2E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Правовые основания разработки программы  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2F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</w:t>
            </w:r>
            <w:r>
              <w:rPr>
                <w:rFonts w:ascii="Times New Roman" w:hAnsi="Times New Roman"/>
                <w:sz w:val="28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0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Собрания депутатов Цимлянского района от 23.09.2022 № </w:t>
            </w:r>
            <w:r>
              <w:rPr>
                <w:rFonts w:ascii="Times New Roman" w:hAnsi="Times New Roman"/>
                <w:sz w:val="28"/>
              </w:rPr>
              <w:t>389»Об</w:t>
            </w:r>
            <w:r>
              <w:rPr>
                <w:rFonts w:ascii="Times New Roman" w:hAnsi="Times New Roman"/>
                <w:sz w:val="28"/>
              </w:rPr>
              <w:t xml:space="preserve"> утверждении Положения о муниципальном земельном контроле в границах муниципального образования «Цимлянский район»;</w:t>
            </w:r>
          </w:p>
          <w:p w14:paraId="31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Собрания депутатов Цимлянского района от 22.12.2022 «О внесении изменений  в решение Собрания депутатов Цимлянского района от 23.09.2021 № 389 «Об утверждении Положения о муниципальном земельном контроле в границах муниципального образования «Цимлянский район»</w:t>
            </w:r>
          </w:p>
          <w:p w14:paraId="32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3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Разработчик 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4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Цимлянского района</w:t>
            </w:r>
          </w:p>
        </w:tc>
      </w:tr>
      <w:tr>
        <w:trPr>
          <w:trHeight w:hRule="atLeast" w:val="599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5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программы  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6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сокращение количества нарушений  обязательных требований </w:t>
            </w:r>
            <w:r>
              <w:rPr>
                <w:rFonts w:ascii="Times New Roman" w:hAnsi="Times New Roman"/>
                <w:sz w:val="28"/>
              </w:rPr>
              <w:t xml:space="preserve">земельного </w:t>
            </w:r>
            <w:r>
              <w:rPr>
                <w:rFonts w:ascii="Times New Roman" w:hAnsi="Times New Roman"/>
                <w:sz w:val="28"/>
              </w:rPr>
              <w:t xml:space="preserve">законодательства </w:t>
            </w:r>
            <w:r>
              <w:rPr>
                <w:rFonts w:ascii="Times New Roman" w:hAnsi="Times New Roman"/>
                <w:sz w:val="28"/>
              </w:rPr>
              <w:t>на территории мун</w:t>
            </w:r>
            <w:r>
              <w:rPr>
                <w:rFonts w:ascii="Times New Roman" w:hAnsi="Times New Roman"/>
                <w:sz w:val="28"/>
              </w:rPr>
              <w:t>иципального образования «Цимлянский район»;</w:t>
            </w:r>
          </w:p>
          <w:p w14:paraId="37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обеспечение доступности информа</w:t>
            </w:r>
            <w:r>
              <w:rPr>
                <w:rFonts w:ascii="Times New Roman" w:hAnsi="Times New Roman"/>
                <w:sz w:val="28"/>
              </w:rPr>
              <w:t>ции об обязательных требованиях</w:t>
            </w:r>
          </w:p>
        </w:tc>
      </w:tr>
      <w:tr>
        <w:trPr>
          <w:trHeight w:hRule="atLeast" w:val="77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8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программы  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9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</w:t>
            </w:r>
            <w:r>
              <w:rPr>
                <w:rFonts w:ascii="Times New Roman" w:hAnsi="Times New Roman"/>
                <w:sz w:val="28"/>
              </w:rPr>
              <w:t>земельного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законодательства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территории муниципал</w:t>
            </w:r>
            <w:r>
              <w:rPr>
                <w:rFonts w:ascii="Times New Roman" w:hAnsi="Times New Roman"/>
                <w:sz w:val="28"/>
              </w:rPr>
              <w:t>ьного образования «Цимлянский район»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A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повышение уровня правовой грамотности субъектов профилактики в области </w:t>
            </w:r>
            <w:r>
              <w:rPr>
                <w:rFonts w:ascii="Times New Roman" w:hAnsi="Times New Roman"/>
                <w:sz w:val="28"/>
              </w:rPr>
              <w:t xml:space="preserve">земельных </w:t>
            </w:r>
            <w:r>
              <w:rPr>
                <w:rFonts w:ascii="Times New Roman" w:hAnsi="Times New Roman"/>
                <w:sz w:val="28"/>
              </w:rPr>
              <w:t>отношений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B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повышение прозрачности системы контрольно-надзорной деятел</w:t>
            </w:r>
            <w:r>
              <w:rPr>
                <w:rFonts w:ascii="Times New Roman" w:hAnsi="Times New Roman"/>
                <w:sz w:val="28"/>
              </w:rPr>
              <w:t>ьности подконтрольных субъектов;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C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повышение квалификации кадрового состава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>Цимлянского района</w:t>
            </w:r>
            <w:r>
              <w:rPr>
                <w:rFonts w:ascii="Times New Roman" w:hAnsi="Times New Roman"/>
                <w:sz w:val="28"/>
              </w:rPr>
              <w:t xml:space="preserve">;  </w:t>
            </w:r>
          </w:p>
          <w:p w14:paraId="3D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формирование единого понимания обязательных требований у всех участников надзорной деятельности; </w:t>
            </w:r>
          </w:p>
          <w:p w14:paraId="3E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создание системы консультирования подконтрольных </w:t>
            </w:r>
            <w:r>
              <w:rPr>
                <w:rFonts w:ascii="Times New Roman" w:hAnsi="Times New Roman"/>
                <w:sz w:val="28"/>
              </w:rPr>
              <w:t>субъектов, в том числе с использованием современных информационно-</w:t>
            </w:r>
            <w:r>
              <w:rPr>
                <w:rFonts w:ascii="Times New Roman" w:hAnsi="Times New Roman"/>
                <w:sz w:val="28"/>
              </w:rPr>
              <w:t>телекоммуникационных технологий</w:t>
            </w:r>
          </w:p>
        </w:tc>
      </w:tr>
      <w:tr>
        <w:trPr>
          <w:trHeight w:hRule="atLeast" w:val="439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3F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и этапы реализации программы  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40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2023 год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>
        <w:trPr>
          <w:trHeight w:hRule="atLeast" w:val="47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41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42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минимизирование количества нарушений субъектами профилактики обязательных требований </w:t>
            </w:r>
            <w:r>
              <w:rPr>
                <w:rFonts w:ascii="Times New Roman" w:hAnsi="Times New Roman"/>
                <w:sz w:val="28"/>
              </w:rPr>
              <w:t>земельного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законодательства;</w:t>
            </w:r>
          </w:p>
          <w:p w14:paraId="43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увеличение доли </w:t>
            </w:r>
            <w:r>
              <w:rPr>
                <w:rFonts w:ascii="Times New Roman" w:hAnsi="Times New Roman"/>
                <w:sz w:val="28"/>
              </w:rPr>
              <w:t>законопослушных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подконтрольных субъектов;</w:t>
            </w:r>
          </w:p>
          <w:p w14:paraId="44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уменьшение административной нагрузки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подконтрольных субъектах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5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снижение издержек контрольно-надзорной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деятельности</w:t>
            </w:r>
          </w:p>
        </w:tc>
      </w:tr>
      <w:tr>
        <w:trPr>
          <w:trHeight w:hRule="atLeast" w:val="735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46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Структура 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65"/>
              <w:left w:type="dxa" w:w="106"/>
              <w:right w:type="dxa" w:w="40"/>
            </w:tcMar>
            <w:vAlign w:val="center"/>
          </w:tcPr>
          <w:p w14:paraId="47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содержит следующие разделы: </w:t>
            </w:r>
          </w:p>
          <w:p w14:paraId="48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  <w:p w14:paraId="49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Аналитическая часть Программы</w:t>
            </w:r>
          </w:p>
          <w:p w14:paraId="4A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Мероприятия Программы</w:t>
            </w:r>
          </w:p>
          <w:p w14:paraId="4B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Ресурсное обеспечение П</w:t>
            </w:r>
            <w:r>
              <w:rPr>
                <w:rFonts w:ascii="Times New Roman" w:hAnsi="Times New Roman"/>
                <w:sz w:val="28"/>
              </w:rPr>
              <w:t>рограммы</w:t>
            </w:r>
          </w:p>
          <w:p w14:paraId="4C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Механизм реализации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D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Цели и задачи реализации программы профилактики 7.Оценка мероприятий по профилактике нарушений и в целом Программы профилактики.</w:t>
            </w:r>
          </w:p>
        </w:tc>
      </w:tr>
    </w:tbl>
    <w:p w14:paraId="4E000000">
      <w:pPr>
        <w:spacing w:after="0" w:line="240" w:lineRule="auto"/>
        <w:ind w:firstLine="0" w:left="0" w:right="-1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</w:p>
    <w:p w14:paraId="4F000000">
      <w:pPr>
        <w:pStyle w:val="Style_2"/>
        <w:spacing w:line="240" w:lineRule="auto"/>
        <w:ind w:firstLine="0" w:left="0" w:right="-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Общие положения</w:t>
      </w:r>
    </w:p>
    <w:p w14:paraId="50000000">
      <w:pPr>
        <w:spacing w:after="0" w:line="240" w:lineRule="auto"/>
        <w:ind w:firstLine="709" w:left="0" w:right="-1"/>
        <w:jc w:val="center"/>
        <w:rPr>
          <w:rFonts w:ascii="Times New Roman" w:hAnsi="Times New Roman"/>
        </w:rPr>
      </w:pPr>
    </w:p>
    <w:p w14:paraId="5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нарушений обязательных требований </w:t>
      </w:r>
      <w:r>
        <w:rPr>
          <w:rFonts w:ascii="Times New Roman" w:hAnsi="Times New Roman"/>
          <w:sz w:val="28"/>
        </w:rPr>
        <w:t xml:space="preserve">законодательства </w:t>
      </w:r>
      <w:r>
        <w:rPr>
          <w:rFonts w:ascii="Times New Roman" w:hAnsi="Times New Roman"/>
          <w:sz w:val="28"/>
        </w:rPr>
        <w:t xml:space="preserve">в области </w:t>
      </w:r>
      <w:r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отношений</w:t>
      </w:r>
      <w:r>
        <w:rPr>
          <w:rFonts w:ascii="Times New Roman" w:hAnsi="Times New Roman"/>
          <w:sz w:val="28"/>
        </w:rPr>
        <w:t xml:space="preserve"> на 2022 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Программа) разработана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остановлением Правител</w:t>
      </w:r>
      <w:r>
        <w:rPr>
          <w:rFonts w:ascii="Times New Roman" w:hAnsi="Times New Roman"/>
          <w:sz w:val="28"/>
        </w:rPr>
        <w:t xml:space="preserve">ьства РФ от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N </w:t>
      </w:r>
      <w:r>
        <w:rPr>
          <w:rFonts w:ascii="Times New Roman" w:hAnsi="Times New Roman"/>
          <w:sz w:val="28"/>
        </w:rPr>
        <w:t>990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Правил разработки и утверждении контрольными (надзорными) органами программы профилактики 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Собрания депутатов Цимлянс</w:t>
      </w:r>
      <w:r>
        <w:rPr>
          <w:rFonts w:ascii="Times New Roman" w:hAnsi="Times New Roman"/>
          <w:sz w:val="28"/>
        </w:rPr>
        <w:t>кого района от 23.09.2022 № 389 «</w:t>
      </w:r>
      <w:r>
        <w:rPr>
          <w:rFonts w:ascii="Times New Roman" w:hAnsi="Times New Roman"/>
          <w:sz w:val="28"/>
        </w:rPr>
        <w:t>Об утверждении Положения о муниципальном земельном контроле в границах муниципального</w:t>
      </w:r>
      <w:r>
        <w:rPr>
          <w:rFonts w:ascii="Times New Roman" w:hAnsi="Times New Roman"/>
          <w:sz w:val="28"/>
        </w:rPr>
        <w:t xml:space="preserve"> образования «Цимлянский район», </w:t>
      </w:r>
      <w:r>
        <w:rPr>
          <w:rFonts w:ascii="Times New Roman" w:hAnsi="Times New Roman"/>
          <w:sz w:val="28"/>
        </w:rPr>
        <w:t>Решением Собрания депутатов Цимлянского района от 22.12.2022 «О внесении изменений  в решение Собрания депутатов Цимлянского района от 23.09.2021 № 389 «Об утверждении Положения о муниципальном земельном контроле в границах муниципального образования «Цимлянский район».</w:t>
      </w:r>
    </w:p>
    <w:p w14:paraId="5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5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</w:t>
      </w:r>
      <w:r>
        <w:rPr>
          <w:rFonts w:ascii="Times New Roman" w:hAnsi="Times New Roman"/>
          <w:sz w:val="28"/>
        </w:rPr>
        <w:t>на в целях реализации положений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>.</w:t>
      </w:r>
    </w:p>
    <w:p w14:paraId="5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55000000">
      <w:pPr>
        <w:pStyle w:val="Style_2"/>
        <w:spacing w:line="240" w:lineRule="auto"/>
        <w:ind w:firstLine="0" w:left="0" w:righ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Аналитическая часть программы</w:t>
      </w:r>
    </w:p>
    <w:p w14:paraId="56000000">
      <w:pPr>
        <w:spacing w:after="0" w:line="240" w:lineRule="auto"/>
        <w:ind w:firstLine="709" w:left="0" w:right="0"/>
        <w:rPr>
          <w:rFonts w:ascii="Times New Roman" w:hAnsi="Times New Roman"/>
        </w:rPr>
      </w:pPr>
    </w:p>
    <w:p w14:paraId="57000000">
      <w:pPr>
        <w:spacing w:after="0" w:line="240" w:lineRule="auto"/>
        <w:ind w:firstLine="709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Настоящая программа предусматривает комплекс мероприятий по профилактике нарушений обязательных требований, оценка соблюдения которых является предметом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>, осуществляем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ей Цимлянского района </w:t>
      </w:r>
      <w:r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8000000">
      <w:pPr>
        <w:spacing w:after="37" w:line="228" w:lineRule="auto"/>
        <w:ind w:firstLine="709" w:left="0" w:right="-1"/>
        <w:rPr>
          <w:rFonts w:ascii="Times New Roman" w:hAnsi="Times New Roman"/>
        </w:rPr>
      </w:pPr>
    </w:p>
    <w:p w14:paraId="59000000">
      <w:pPr>
        <w:spacing w:after="1" w:line="228" w:lineRule="auto"/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Обязательные требования, оценка соблюдения которых является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предметом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>.</w:t>
      </w:r>
    </w:p>
    <w:p w14:paraId="5A000000">
      <w:pPr>
        <w:spacing w:after="1" w:line="228" w:lineRule="auto"/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Назначенные</w:t>
      </w:r>
      <w:r>
        <w:rPr>
          <w:rFonts w:ascii="Times New Roman" w:hAnsi="Times New Roman"/>
        </w:rPr>
        <w:t xml:space="preserve"> должностные лица, ответственные за актуализацию перечней правовых актов (и их отдельных частей), содержащих требования, соблюдение которых оценивается при проведении мероприятий по контролю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размещенных на официальном сайте </w:t>
      </w:r>
      <w:r>
        <w:rPr>
          <w:rFonts w:ascii="Times New Roman" w:hAnsi="Times New Roman"/>
        </w:rPr>
        <w:t>Администрации Цимлянского района</w:t>
      </w:r>
      <w:r>
        <w:rPr>
          <w:rFonts w:ascii="Times New Roman" w:hAnsi="Times New Roman"/>
        </w:rPr>
        <w:t>.</w:t>
      </w:r>
    </w:p>
    <w:p w14:paraId="5B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</w:rPr>
        <w:t xml:space="preserve"> актуализированы виды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перечни</w:t>
      </w:r>
      <w:r>
        <w:rPr>
          <w:rFonts w:ascii="Times New Roman" w:hAnsi="Times New Roman"/>
        </w:rPr>
        <w:t xml:space="preserve"> нормативных правовых актов их отдельных частей, содержащих обязательные требования, оценка соблюдения которых является предметом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контроля, а также текстов соответствующих нормативных правовых актов (далее – перечни нормативных правовых актов). </w:t>
      </w:r>
    </w:p>
    <w:p w14:paraId="5C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Перечни нормативных правовых актов размещены на официальном сайте </w:t>
      </w:r>
      <w:r>
        <w:rPr>
          <w:rFonts w:ascii="Times New Roman" w:hAnsi="Times New Roman"/>
        </w:rPr>
        <w:t xml:space="preserve">Администрации Цимлянского района </w:t>
      </w:r>
      <w:r>
        <w:rPr>
          <w:rFonts w:ascii="Times New Roman" w:hAnsi="Times New Roman"/>
        </w:rPr>
        <w:t>в информационно-телеко</w:t>
      </w:r>
      <w:r>
        <w:rPr>
          <w:rFonts w:ascii="Times New Roman" w:hAnsi="Times New Roman"/>
        </w:rPr>
        <w:t>ммуникационной сети «Интернет»</w:t>
      </w:r>
      <w:r>
        <w:rPr>
          <w:rFonts w:ascii="Times New Roman" w:hAnsi="Times New Roman"/>
        </w:rPr>
        <w:t>.</w:t>
      </w:r>
    </w:p>
    <w:p w14:paraId="5D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земельный</w:t>
      </w:r>
      <w:r>
        <w:rPr>
          <w:rFonts w:ascii="Times New Roman" w:hAnsi="Times New Roman"/>
        </w:rPr>
        <w:t xml:space="preserve"> контроль осуществляется в соответствии с Положением о муниципальном </w:t>
      </w:r>
      <w:r>
        <w:rPr>
          <w:rFonts w:ascii="Times New Roman" w:hAnsi="Times New Roman"/>
        </w:rPr>
        <w:t>земельном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на территории</w:t>
      </w:r>
      <w:r>
        <w:rPr>
          <w:rFonts w:ascii="Times New Roman" w:hAnsi="Times New Roman"/>
        </w:rPr>
        <w:t xml:space="preserve"> Цимлянского ра</w:t>
      </w:r>
      <w:r>
        <w:rPr>
          <w:rFonts w:ascii="Times New Roman" w:hAnsi="Times New Roman"/>
        </w:rPr>
        <w:t>йона</w:t>
      </w:r>
      <w:r>
        <w:rPr>
          <w:rFonts w:ascii="Times New Roman" w:hAnsi="Times New Roman"/>
        </w:rPr>
        <w:t>.</w:t>
      </w:r>
    </w:p>
    <w:p w14:paraId="5E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Контрольно-надзорная деятельность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Администрацией согласно</w:t>
      </w:r>
      <w:r>
        <w:rPr>
          <w:rFonts w:ascii="Times New Roman" w:hAnsi="Times New Roman"/>
        </w:rPr>
        <w:t xml:space="preserve">  распоряжений о проведении внеплановых проверок.</w:t>
      </w:r>
    </w:p>
    <w:p w14:paraId="5F000000">
      <w:pPr>
        <w:spacing w:after="38"/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 по профилактике нарушений и их результаты</w:t>
      </w:r>
    </w:p>
    <w:p w14:paraId="60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профилактики нарушений обязательных требований на официальном сайте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>
        <w:rPr>
          <w:rFonts w:ascii="Times New Roman" w:hAnsi="Times New Roman"/>
        </w:rPr>
        <w:t>муниципального контроля.</w:t>
      </w:r>
      <w:r>
        <w:rPr>
          <w:rFonts w:ascii="Times New Roman" w:hAnsi="Times New Roman"/>
        </w:rPr>
        <w:t xml:space="preserve"> </w:t>
      </w:r>
    </w:p>
    <w:p w14:paraId="61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повышения информированности подконтрольных субъектов о действующих обязательных требованиях на официальном сайте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в информационно-телекоммуникационной сети «Интернет» в разделе «</w:t>
      </w:r>
      <w:r>
        <w:rPr>
          <w:rFonts w:ascii="Times New Roman" w:hAnsi="Times New Roman"/>
        </w:rPr>
        <w:t>Муниципальный контроль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1-2 квартале 2023</w:t>
      </w:r>
      <w:r>
        <w:rPr>
          <w:rFonts w:ascii="Times New Roman" w:hAnsi="Times New Roman"/>
        </w:rPr>
        <w:t xml:space="preserve"> будут</w:t>
      </w:r>
      <w:r>
        <w:rPr>
          <w:rFonts w:ascii="Times New Roman" w:hAnsi="Times New Roman"/>
        </w:rPr>
        <w:t xml:space="preserve"> размещены руководства по соблюдению обязательных требований.</w:t>
      </w:r>
    </w:p>
    <w:p w14:paraId="62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даются компетентные разъяснения и консультации. </w:t>
      </w:r>
    </w:p>
    <w:p w14:paraId="63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осуществления муниципал</w:t>
      </w:r>
      <w:r>
        <w:rPr>
          <w:rFonts w:ascii="Times New Roman" w:hAnsi="Times New Roman"/>
          <w:sz w:val="28"/>
        </w:rPr>
        <w:t>ьного земельного контроля в 2022</w:t>
      </w:r>
      <w:r>
        <w:rPr>
          <w:rFonts w:ascii="Times New Roman" w:hAnsi="Times New Roman"/>
          <w:sz w:val="28"/>
        </w:rPr>
        <w:t xml:space="preserve"> году, наиболее значимыми проблемами являются: </w:t>
      </w:r>
    </w:p>
    <w:p w14:paraId="6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 </w:t>
      </w:r>
    </w:p>
    <w:p w14:paraId="6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>
        <w:rPr>
          <w:rFonts w:ascii="Times New Roman" w:hAnsi="Times New Roman"/>
          <w:sz w:val="28"/>
        </w:rPr>
        <w:t>;</w:t>
      </w:r>
    </w:p>
    <w:p w14:paraId="6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отсутствия денежных средств на строительство на земельных участках, предназначенных для жи</w:t>
      </w:r>
      <w:r>
        <w:rPr>
          <w:rFonts w:ascii="Times New Roman" w:hAnsi="Times New Roman"/>
          <w:sz w:val="28"/>
        </w:rPr>
        <w:t xml:space="preserve">лищного или иного строительства; </w:t>
      </w:r>
    </w:p>
    <w:p w14:paraId="6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невыполнение обязанностей по рекультивации земель сельскохозяйственного назначения,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назначению.</w:t>
      </w:r>
    </w:p>
    <w:p w14:paraId="68000000">
      <w:pPr>
        <w:ind w:firstLine="709" w:left="0" w:right="-1"/>
        <w:rPr>
          <w:rFonts w:ascii="Times New Roman" w:hAnsi="Times New Roman"/>
          <w:sz w:val="28"/>
        </w:rPr>
      </w:pPr>
    </w:p>
    <w:p w14:paraId="69000000">
      <w:pPr>
        <w:numPr>
          <w:ilvl w:val="1"/>
          <w:numId w:val="1"/>
        </w:numPr>
        <w:spacing w:after="37" w:line="228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программы</w:t>
      </w:r>
    </w:p>
    <w:p w14:paraId="6A000000">
      <w:pPr>
        <w:spacing w:after="38"/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Цели профилактической работы: </w:t>
      </w:r>
    </w:p>
    <w:p w14:paraId="6B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>
        <w:rPr>
          <w:rFonts w:ascii="Times New Roman" w:hAnsi="Times New Roman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6C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>
        <w:rPr>
          <w:rFonts w:ascii="Times New Roman" w:hAnsi="Times New Roman"/>
        </w:rPr>
        <w:t xml:space="preserve">странение условий, причин и факторов, способных привести к нарушениям обязательных требований; </w:t>
      </w:r>
    </w:p>
    <w:p w14:paraId="6D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>
        <w:rPr>
          <w:rFonts w:ascii="Times New Roman" w:hAnsi="Times New Roman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14:paraId="6E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2.3.2.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Проведение профил</w:t>
      </w:r>
      <w:r>
        <w:rPr>
          <w:rFonts w:ascii="Times New Roman" w:hAnsi="Times New Roman"/>
        </w:rPr>
        <w:t>актических мероприятий позволит</w:t>
      </w:r>
      <w:r>
        <w:rPr>
          <w:rFonts w:ascii="Times New Roman" w:hAnsi="Times New Roman"/>
        </w:rPr>
        <w:t xml:space="preserve"> решить следующие задачи: </w:t>
      </w:r>
    </w:p>
    <w:p w14:paraId="6F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выявление и устранение причин, факторов и условий, способствующих </w:t>
      </w:r>
      <w:r>
        <w:rPr>
          <w:rFonts w:ascii="Times New Roman" w:hAnsi="Times New Roman"/>
        </w:rPr>
        <w:t>нарушениям подконтрольными субъектами обязательных требований;</w:t>
      </w:r>
    </w:p>
    <w:p w14:paraId="70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повышение уровня правовой грамотности подконтрольных субъектов; </w:t>
      </w:r>
    </w:p>
    <w:p w14:paraId="71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повышение прозрачности системы контрольно-надзорной деятельности. </w:t>
      </w:r>
    </w:p>
    <w:p w14:paraId="72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повышение квалификации кадрового состава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; </w:t>
      </w:r>
    </w:p>
    <w:p w14:paraId="73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формирование моделей социально ответственного, добросовестного, правового поведения подконтрольных субъекто</w:t>
      </w:r>
      <w:r>
        <w:rPr>
          <w:rFonts w:ascii="Times New Roman" w:hAnsi="Times New Roman"/>
        </w:rPr>
        <w:t>в;</w:t>
      </w:r>
    </w:p>
    <w:p w14:paraId="74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>
        <w:rPr>
          <w:rFonts w:ascii="Times New Roman" w:hAnsi="Times New Roman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75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ascii="Times New Roman" w:hAnsi="Times New Roman"/>
        </w:rPr>
        <w:t>.</w:t>
      </w:r>
    </w:p>
    <w:p w14:paraId="76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>2.3.3.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Настоящая</w:t>
      </w:r>
      <w:r>
        <w:rPr>
          <w:rFonts w:ascii="Times New Roman" w:hAnsi="Times New Roman"/>
        </w:rPr>
        <w:t xml:space="preserve"> программа призвана обеспечить в</w:t>
      </w:r>
      <w:r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году создание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условий для снижения случаев нарушения в области </w:t>
      </w:r>
      <w:r>
        <w:rPr>
          <w:rFonts w:ascii="Times New Roman" w:hAnsi="Times New Roman"/>
        </w:rPr>
        <w:t>земельных</w:t>
      </w:r>
      <w:r>
        <w:rPr>
          <w:rFonts w:ascii="Times New Roman" w:hAnsi="Times New Roman"/>
        </w:rPr>
        <w:t xml:space="preserve"> отношений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7000000">
      <w:pPr>
        <w:spacing w:after="21" w:line="264" w:lineRule="auto"/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8000000">
      <w:pPr>
        <w:pStyle w:val="Style_2"/>
        <w:spacing w:line="240" w:lineRule="auto"/>
        <w:ind w:firstLine="0" w:left="0" w:righ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Мероприятия программы </w:t>
      </w:r>
    </w:p>
    <w:p w14:paraId="79000000">
      <w:pPr>
        <w:spacing w:after="0" w:line="264" w:lineRule="auto"/>
        <w:ind w:firstLine="709" w:left="0" w:right="-1"/>
        <w:jc w:val="left"/>
        <w:rPr>
          <w:rFonts w:ascii="Times New Roman" w:hAnsi="Times New Roman"/>
        </w:rPr>
      </w:pPr>
    </w:p>
    <w:p w14:paraId="7A000000">
      <w:pPr>
        <w:ind w:firstLine="709" w:left="0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 программы представляют собой комплекс мер, направленных на достижение </w:t>
      </w:r>
      <w:r>
        <w:rPr>
          <w:rFonts w:ascii="Times New Roman" w:hAnsi="Times New Roman"/>
        </w:rPr>
        <w:t>целей и решение основных задач н</w:t>
      </w:r>
      <w:r>
        <w:rPr>
          <w:rFonts w:ascii="Times New Roman" w:hAnsi="Times New Roman"/>
        </w:rPr>
        <w:t>астоящей Программы. Перечень профилактических мероприятий  Программы, сроки их реализации и ответственные испо</w:t>
      </w:r>
      <w:r>
        <w:rPr>
          <w:rFonts w:ascii="Times New Roman" w:hAnsi="Times New Roman"/>
        </w:rPr>
        <w:t>лнители на 2023 год приведены в приложении № 2 настоящей программы.</w:t>
      </w:r>
      <w:r>
        <w:rPr>
          <w:rFonts w:ascii="Times New Roman" w:hAnsi="Times New Roman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rFonts w:ascii="Times New Roman" w:hAnsi="Times New Roman"/>
        </w:rPr>
        <w:t>земельных</w:t>
      </w:r>
      <w:r>
        <w:rPr>
          <w:rFonts w:ascii="Times New Roman" w:hAnsi="Times New Roman"/>
        </w:rPr>
        <w:t xml:space="preserve"> отношений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году.</w:t>
      </w:r>
    </w:p>
    <w:p w14:paraId="7B000000">
      <w:pPr>
        <w:spacing w:after="0"/>
        <w:ind w:firstLine="709" w:left="0" w:right="57"/>
        <w:rPr>
          <w:rFonts w:ascii="Times New Roman" w:hAnsi="Times New Roman"/>
        </w:rPr>
      </w:pPr>
    </w:p>
    <w:p w14:paraId="7C000000">
      <w:pPr>
        <w:pStyle w:val="Style_2"/>
        <w:ind w:firstLine="0"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Ресурсное обеспечение Программы</w:t>
      </w:r>
    </w:p>
    <w:p w14:paraId="7D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7E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Источником финансирования программы является бюджет муниципального образования «Цимлянский район». </w:t>
      </w:r>
    </w:p>
    <w:p w14:paraId="7F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штатных единиц по должностям, предусматривающим выполнение функций по осуществлению муниципального з</w:t>
      </w:r>
      <w:r>
        <w:rPr>
          <w:rFonts w:ascii="Times New Roman" w:hAnsi="Times New Roman"/>
          <w:color w:val="000000"/>
        </w:rPr>
        <w:t>емельного контроля, – 2 работника</w:t>
      </w:r>
      <w:r>
        <w:rPr>
          <w:rFonts w:ascii="Times New Roman" w:hAnsi="Times New Roman"/>
          <w:color w:val="000000"/>
        </w:rPr>
        <w:t xml:space="preserve">. </w:t>
      </w:r>
    </w:p>
    <w:p w14:paraId="80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Реализация Программы осуществляется в рамках текущего финансирования деятельности администрации. </w:t>
      </w:r>
    </w:p>
    <w:p w14:paraId="81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с обоснованием дополнительной потребности в кадровых, материальных и иных ресурсах, необходимых для реализации Программы, проводится администрацией в пределах установленной компетенции. </w:t>
      </w:r>
    </w:p>
    <w:p w14:paraId="82000000">
      <w:pPr>
        <w:ind w:firstLine="709" w:left="0" w:right="-1"/>
        <w:rPr>
          <w:rFonts w:ascii="Times New Roman" w:hAnsi="Times New Roman"/>
          <w:color w:val="000000"/>
        </w:rPr>
      </w:pPr>
    </w:p>
    <w:p w14:paraId="83000000">
      <w:pPr>
        <w:ind w:firstLine="709" w:left="0" w:right="-1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Механизм реализации Программы</w:t>
      </w:r>
    </w:p>
    <w:p w14:paraId="84000000">
      <w:pPr>
        <w:ind w:firstLine="709" w:left="0" w:right="-1"/>
        <w:jc w:val="center"/>
        <w:rPr>
          <w:rFonts w:ascii="Times New Roman" w:hAnsi="Times New Roman"/>
          <w:b w:val="1"/>
          <w:color w:val="000000"/>
        </w:rPr>
      </w:pPr>
    </w:p>
    <w:p w14:paraId="85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в информационно-телекоммуникационной сети «Интернет».</w:t>
      </w:r>
    </w:p>
    <w:p w14:paraId="86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 Перечень уполномоченных лиц, ответственных за организацию и проведение профилактических мероприятий в администрации: </w:t>
      </w:r>
    </w:p>
    <w:p w14:paraId="87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5.2.1. </w:t>
      </w:r>
      <w:r>
        <w:rPr>
          <w:rFonts w:ascii="Times New Roman" w:hAnsi="Times New Roman"/>
          <w:color w:val="000000"/>
        </w:rPr>
        <w:t>Первый заместитель главы А</w:t>
      </w:r>
      <w:r>
        <w:rPr>
          <w:rFonts w:ascii="Times New Roman" w:hAnsi="Times New Roman"/>
          <w:color w:val="000000"/>
        </w:rPr>
        <w:t>дминистрации</w:t>
      </w:r>
      <w:r>
        <w:rPr>
          <w:rFonts w:ascii="Times New Roman" w:hAnsi="Times New Roman"/>
          <w:color w:val="000000"/>
        </w:rPr>
        <w:t xml:space="preserve"> Цимлянского района</w:t>
      </w:r>
      <w:r>
        <w:rPr>
          <w:rFonts w:ascii="Times New Roman" w:hAnsi="Times New Roman"/>
          <w:color w:val="000000"/>
        </w:rPr>
        <w:t xml:space="preserve"> – руков</w:t>
      </w:r>
      <w:r>
        <w:rPr>
          <w:rFonts w:ascii="Times New Roman" w:hAnsi="Times New Roman"/>
          <w:color w:val="000000"/>
        </w:rPr>
        <w:t>одитель (координатор) программы.</w:t>
      </w:r>
    </w:p>
    <w:p w14:paraId="88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Руководитель (координатор) программы осуществляет координирование всей деятельности администрации по реализации Программы. </w:t>
      </w:r>
    </w:p>
    <w:p w14:paraId="89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5.2.2. </w:t>
      </w:r>
      <w:r>
        <w:rPr>
          <w:rFonts w:ascii="Times New Roman" w:hAnsi="Times New Roman"/>
          <w:color w:val="000000"/>
        </w:rPr>
        <w:t>Специалист отдела имущественных и земельных отношений</w:t>
      </w:r>
      <w:r>
        <w:rPr>
          <w:rFonts w:ascii="Times New Roman" w:hAnsi="Times New Roman"/>
          <w:color w:val="000000"/>
        </w:rPr>
        <w:t xml:space="preserve"> Администрации Цимлянского района</w:t>
      </w:r>
      <w:r>
        <w:rPr>
          <w:rFonts w:ascii="Times New Roman" w:hAnsi="Times New Roman"/>
          <w:color w:val="000000"/>
        </w:rPr>
        <w:t>:</w:t>
      </w:r>
    </w:p>
    <w:p w14:paraId="8A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организует реализацию Программы; </w:t>
      </w:r>
    </w:p>
    <w:p w14:paraId="8B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осуществляет подготовку докладов о ходе реализации Программы; </w:t>
      </w:r>
    </w:p>
    <w:p w14:paraId="8C000000">
      <w:pPr>
        <w:numPr>
          <w:numId w:val="2"/>
        </w:numPr>
        <w:ind w:hanging="360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подготавливает предложения по формированию (уточнению) перечня программных мероприятий на очередной финансовый год, разработке перечня показателей для мониторинга реализации программных мероприятий, проведению м</w:t>
      </w:r>
      <w:r>
        <w:rPr>
          <w:rFonts w:ascii="Times New Roman" w:hAnsi="Times New Roman"/>
          <w:color w:val="000000"/>
        </w:rPr>
        <w:t>ониторинга реализации Программы;</w:t>
      </w:r>
      <w:r>
        <w:rPr>
          <w:rFonts w:ascii="Times New Roman" w:hAnsi="Times New Roman"/>
          <w:color w:val="000000"/>
        </w:rPr>
        <w:t xml:space="preserve">  </w:t>
      </w:r>
    </w:p>
    <w:p w14:paraId="8D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осуществляет на регулярной основе мониторинг реализации Программы; </w:t>
      </w:r>
    </w:p>
    <w:p w14:paraId="8E000000">
      <w:pPr>
        <w:ind w:firstLine="709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ежеквартально осуществляет сбор и накопление информации о ходе реализации Программы, анализ ситуации с соблюдением обязательных требований и возникающих у подконтрольных субъектов.</w:t>
      </w:r>
    </w:p>
    <w:p w14:paraId="8F000000">
      <w:pPr>
        <w:ind w:firstLine="709" w:left="0" w:right="-1"/>
        <w:rPr>
          <w:rFonts w:ascii="Times New Roman" w:hAnsi="Times New Roman"/>
          <w:color w:val="000000"/>
          <w:sz w:val="28"/>
        </w:rPr>
      </w:pPr>
    </w:p>
    <w:p w14:paraId="90000000">
      <w:pPr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6.Цели и задачи реализации программы профилактики</w:t>
      </w:r>
    </w:p>
    <w:p w14:paraId="91000000">
      <w:pPr>
        <w:ind w:firstLine="708" w:left="0"/>
        <w:jc w:val="both"/>
        <w:rPr>
          <w:rFonts w:ascii="Times New Roman" w:hAnsi="Times New Roman"/>
          <w:sz w:val="28"/>
        </w:rPr>
      </w:pPr>
    </w:p>
    <w:p w14:paraId="9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целями программы профилактики являются: </w:t>
      </w:r>
    </w:p>
    <w:p w14:paraId="9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9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9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9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14:paraId="9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14:paraId="98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14:paraId="99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9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14:paraId="9B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9C000000">
      <w:pPr>
        <w:ind w:firstLine="709" w:left="0" w:right="-1"/>
        <w:rPr>
          <w:rFonts w:ascii="Times New Roman" w:hAnsi="Times New Roman"/>
          <w:color w:val="000000"/>
          <w:sz w:val="28"/>
        </w:rPr>
      </w:pPr>
    </w:p>
    <w:p w14:paraId="9D000000">
      <w:pPr>
        <w:ind w:firstLine="709" w:left="0" w:right="-1"/>
        <w:rPr>
          <w:rFonts w:ascii="Times New Roman" w:hAnsi="Times New Roman"/>
          <w:color w:val="000000"/>
          <w:sz w:val="28"/>
        </w:rPr>
      </w:pPr>
    </w:p>
    <w:p w14:paraId="9E000000">
      <w:pPr>
        <w:ind w:firstLine="0" w:left="0" w:right="-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Оценка мероприятий по профилактике нарушений и в целом</w:t>
      </w:r>
    </w:p>
    <w:p w14:paraId="9F000000">
      <w:pPr>
        <w:ind w:firstLine="0" w:left="0" w:right="-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Программы, отчетные</w:t>
      </w:r>
      <w:r>
        <w:rPr>
          <w:rFonts w:ascii="Times New Roman" w:hAnsi="Times New Roman"/>
          <w:color w:val="000000"/>
        </w:rPr>
        <w:t xml:space="preserve"> показатели на 2022 год</w:t>
      </w:r>
    </w:p>
    <w:p w14:paraId="A0000000">
      <w:pPr>
        <w:ind w:firstLine="709" w:left="0" w:right="-1"/>
        <w:jc w:val="center"/>
        <w:rPr>
          <w:rFonts w:ascii="Times New Roman" w:hAnsi="Times New Roman"/>
          <w:color w:val="000000"/>
        </w:rPr>
      </w:pPr>
    </w:p>
    <w:p w14:paraId="A1000000">
      <w:pPr>
        <w:pStyle w:val="Style_5"/>
        <w:ind/>
        <w:jc w:val="center"/>
        <w:rPr>
          <w:rFonts w:ascii="Tinos" w:hAnsi="Tinos"/>
          <w:b w:val="0"/>
          <w:sz w:val="28"/>
        </w:rPr>
      </w:pPr>
    </w:p>
    <w:p w14:paraId="A2000000">
      <w:pPr>
        <w:pStyle w:val="Style_5"/>
        <w:spacing w:line="240" w:lineRule="auto"/>
        <w:ind w:firstLine="709" w:left="0"/>
        <w:jc w:val="both"/>
        <w:rPr>
          <w:rFonts w:ascii="Tinos" w:hAnsi="Tinos"/>
          <w:b w:val="0"/>
          <w:sz w:val="28"/>
        </w:rPr>
      </w:pPr>
      <w:r>
        <w:rPr>
          <w:rFonts w:ascii="Tinos" w:hAnsi="Tinos"/>
          <w:b w:val="0"/>
          <w:sz w:val="28"/>
        </w:rPr>
        <w:t xml:space="preserve">К показателям результативности и эффективности программы профилактики рисков причинения вреда (ущерба) охраняемым законом ценностям относятся: </w:t>
      </w:r>
    </w:p>
    <w:p w14:paraId="A3000000">
      <w:pPr>
        <w:pStyle w:val="Style_5"/>
        <w:spacing w:line="240" w:lineRule="auto"/>
        <w:ind w:firstLine="709" w:left="0"/>
        <w:jc w:val="both"/>
        <w:rPr>
          <w:rFonts w:ascii="Tinos" w:hAnsi="Tinos"/>
          <w:b w:val="0"/>
          <w:sz w:val="28"/>
        </w:rPr>
      </w:pPr>
      <w:r>
        <w:rPr>
          <w:rFonts w:ascii="Tinos" w:hAnsi="Tinos"/>
          <w:b w:val="0"/>
          <w:sz w:val="28"/>
        </w:rPr>
        <w:t>1) количество проведенных профилактических мероприятий;</w:t>
      </w:r>
    </w:p>
    <w:p w14:paraId="A4000000">
      <w:pPr>
        <w:pStyle w:val="Style_5"/>
        <w:spacing w:line="240" w:lineRule="auto"/>
        <w:ind w:firstLine="709" w:left="0"/>
        <w:jc w:val="both"/>
        <w:rPr>
          <w:rFonts w:ascii="Tinos" w:hAnsi="Tinos"/>
          <w:b w:val="0"/>
          <w:sz w:val="28"/>
        </w:rPr>
      </w:pPr>
      <w:r>
        <w:rPr>
          <w:rFonts w:ascii="Tinos" w:hAnsi="Tinos"/>
          <w:b w:val="0"/>
          <w:sz w:val="28"/>
        </w:rPr>
        <w:t>2) соблюдение контролируемыми лицами обязательных требований;</w:t>
      </w:r>
    </w:p>
    <w:p w14:paraId="A5000000">
      <w:pPr>
        <w:pStyle w:val="Style_5"/>
        <w:spacing w:line="240" w:lineRule="auto"/>
        <w:ind w:firstLine="709" w:left="0"/>
        <w:jc w:val="both"/>
        <w:rPr>
          <w:rFonts w:ascii="Tinos" w:hAnsi="Tinos"/>
          <w:b w:val="0"/>
          <w:sz w:val="28"/>
        </w:rPr>
      </w:pPr>
      <w:r>
        <w:rPr>
          <w:rFonts w:ascii="Tinos" w:hAnsi="Tinos"/>
          <w:b w:val="0"/>
          <w:sz w:val="28"/>
        </w:rPr>
        <w:t>3) наличие на официальном портале муниципального образования «Цимлянский район» актуальной информации для контролируемых лиц и иных заинтересованных лиц по вопросам соблюдения обязательных требований.</w:t>
      </w:r>
    </w:p>
    <w:p w14:paraId="A6000000">
      <w:pPr>
        <w:pStyle w:val="Style_5"/>
        <w:spacing w:line="240" w:lineRule="auto"/>
        <w:ind w:firstLine="0" w:left="0"/>
        <w:jc w:val="both"/>
        <w:rPr>
          <w:rFonts w:ascii="Tinos" w:hAnsi="Tinos"/>
          <w:b w:val="0"/>
          <w:sz w:val="28"/>
        </w:rPr>
      </w:pPr>
      <w:r>
        <w:rPr>
          <w:rFonts w:ascii="Tinos" w:hAnsi="Tinos"/>
          <w:b w:val="0"/>
          <w:sz w:val="28"/>
        </w:rPr>
        <w:t>Результаты оценки эффективности и результативности профилактических мероприятий отражаются в ежегодном докладе о муниципальном земельном контроле на территории муниципального образования «Цимлянский район».</w:t>
      </w:r>
    </w:p>
    <w:p w14:paraId="A7000000">
      <w:pPr>
        <w:ind w:firstLine="709" w:left="0" w:right="-1"/>
        <w:rPr>
          <w:rFonts w:ascii="Times New Roman" w:hAnsi="Times New Roman"/>
          <w:color w:val="000000"/>
        </w:rPr>
      </w:pPr>
    </w:p>
    <w:p w14:paraId="A8000000">
      <w:pPr>
        <w:ind w:firstLine="0" w:left="0" w:right="-1"/>
        <w:rPr>
          <w:rFonts w:ascii="Times New Roman" w:hAnsi="Times New Roman"/>
          <w:color w:val="000000"/>
        </w:rPr>
      </w:pPr>
    </w:p>
    <w:p w14:paraId="A9000000">
      <w:pPr>
        <w:ind w:firstLine="0" w:left="0" w:right="-1"/>
        <w:rPr>
          <w:rFonts w:ascii="Times New Roman" w:hAnsi="Times New Roman"/>
          <w:color w:val="000000"/>
        </w:rPr>
      </w:pPr>
    </w:p>
    <w:p w14:paraId="AA000000">
      <w:pPr>
        <w:ind w:firstLine="0" w:left="0" w:right="-1"/>
        <w:rPr>
          <w:rFonts w:ascii="Times New Roman" w:hAnsi="Times New Roman"/>
          <w:color w:val="000000"/>
        </w:rPr>
      </w:pPr>
    </w:p>
    <w:p w14:paraId="AB000000">
      <w:pPr>
        <w:ind w:firstLine="0" w:left="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Управляющий </w:t>
      </w:r>
      <w:r>
        <w:rPr>
          <w:rFonts w:ascii="Times New Roman" w:hAnsi="Times New Roman"/>
          <w:color w:val="000000"/>
        </w:rPr>
        <w:t xml:space="preserve">делами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</w:t>
      </w:r>
      <w:r>
        <w:rPr>
          <w:rFonts w:ascii="Times New Roman" w:hAnsi="Times New Roman"/>
          <w:color w:val="000000"/>
        </w:rPr>
        <w:t xml:space="preserve"> А.В. Кулик</w:t>
      </w:r>
    </w:p>
    <w:p w14:paraId="AC000000">
      <w:pPr>
        <w:ind w:firstLine="0" w:left="0" w:right="-1"/>
        <w:rPr>
          <w:rFonts w:ascii="Times New Roman" w:hAnsi="Times New Roman"/>
          <w:color w:val="000000"/>
        </w:rPr>
      </w:pPr>
    </w:p>
    <w:p w14:paraId="AD000000">
      <w:pPr>
        <w:ind w:firstLine="0" w:left="0" w:right="-1"/>
        <w:rPr>
          <w:rFonts w:ascii="Times New Roman" w:hAnsi="Times New Roman"/>
          <w:color w:val="000000"/>
        </w:rPr>
      </w:pPr>
    </w:p>
    <w:p w14:paraId="AE000000">
      <w:pPr>
        <w:ind w:firstLine="0" w:left="0" w:right="-1"/>
        <w:rPr>
          <w:rFonts w:ascii="Times New Roman" w:hAnsi="Times New Roman"/>
          <w:color w:val="000000"/>
        </w:rPr>
      </w:pPr>
    </w:p>
    <w:p w14:paraId="AF000000">
      <w:pPr>
        <w:pStyle w:val="Style_2"/>
        <w:numPr>
          <w:ilvl w:val="0"/>
          <w:numId w:val="0"/>
        </w:numPr>
        <w:ind w:right="-1"/>
        <w:jc w:val="right"/>
        <w:rPr>
          <w:rFonts w:ascii="Tinos" w:hAnsi="Tinos"/>
          <w:b w:val="0"/>
        </w:rPr>
      </w:pPr>
      <w:r>
        <w:rPr>
          <w:rFonts w:ascii="Tinos" w:hAnsi="Tinos"/>
          <w:b w:val="0"/>
        </w:rPr>
        <w:t>Приложение № 2</w:t>
      </w:r>
    </w:p>
    <w:p w14:paraId="B0000000">
      <w:pPr>
        <w:pStyle w:val="Style_2"/>
        <w:numPr>
          <w:ilvl w:val="0"/>
          <w:numId w:val="0"/>
        </w:numPr>
        <w:spacing w:line="240" w:lineRule="auto"/>
        <w:ind w:right="-1"/>
        <w:jc w:val="right"/>
        <w:rPr>
          <w:rFonts w:ascii="Tinos" w:hAnsi="Tinos"/>
          <w:b w:val="0"/>
        </w:rPr>
      </w:pPr>
      <w:r>
        <w:rPr>
          <w:rFonts w:ascii="Tinos" w:hAnsi="Tinos"/>
          <w:b w:val="0"/>
        </w:rPr>
        <w:t>к</w:t>
      </w:r>
      <w:r>
        <w:rPr>
          <w:rFonts w:ascii="Tinos" w:hAnsi="Tinos"/>
          <w:b w:val="0"/>
        </w:rPr>
        <w:t xml:space="preserve"> постановлению </w:t>
      </w:r>
    </w:p>
    <w:p w14:paraId="B1000000">
      <w:pPr>
        <w:pStyle w:val="Style_2"/>
        <w:numPr>
          <w:ilvl w:val="0"/>
          <w:numId w:val="0"/>
        </w:numPr>
        <w:spacing w:line="240" w:lineRule="auto"/>
        <w:ind w:right="-1"/>
        <w:jc w:val="right"/>
        <w:rPr>
          <w:rFonts w:ascii="Tinos" w:hAnsi="Tinos"/>
          <w:b w:val="0"/>
        </w:rPr>
      </w:pPr>
      <w:r>
        <w:rPr>
          <w:rFonts w:ascii="Tinos" w:hAnsi="Tinos"/>
          <w:b w:val="0"/>
        </w:rPr>
        <w:t>Администрации</w:t>
      </w:r>
      <w:r>
        <w:rPr>
          <w:rFonts w:ascii="Tinos" w:hAnsi="Tinos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nos" w:hAnsi="Tinos"/>
          <w:b w:val="0"/>
        </w:rPr>
        <w:t>Цимлянского района</w:t>
      </w:r>
    </w:p>
    <w:p w14:paraId="B2000000">
      <w:pPr>
        <w:pStyle w:val="Style_2"/>
        <w:numPr>
          <w:ilvl w:val="0"/>
          <w:numId w:val="0"/>
        </w:numPr>
        <w:spacing w:line="240" w:lineRule="auto"/>
        <w:ind w:hanging="10" w:left="10" w:right="-1"/>
        <w:jc w:val="right"/>
        <w:rPr>
          <w:rFonts w:ascii="XO Thames" w:hAnsi="XO Thames"/>
          <w:b w:val="0"/>
        </w:rPr>
      </w:pPr>
      <w:r>
        <w:rPr>
          <w:rFonts w:ascii="XO Thames" w:hAnsi="XO Thames"/>
          <w:b w:val="0"/>
        </w:rPr>
        <w:t>от</w:t>
      </w:r>
      <w:r>
        <w:rPr>
          <w:rFonts w:ascii="XO Thames" w:hAnsi="XO Thames"/>
          <w:b w:val="0"/>
        </w:rPr>
        <w:t xml:space="preserve"> ___.12.</w:t>
      </w:r>
      <w:r>
        <w:rPr>
          <w:rFonts w:ascii="XO Thames" w:hAnsi="XO Thames"/>
          <w:b w:val="0"/>
        </w:rPr>
        <w:t>2022</w:t>
      </w:r>
      <w:r>
        <w:rPr>
          <w:rFonts w:ascii="XO Thames" w:hAnsi="XO Thames"/>
          <w:b w:val="0"/>
        </w:rPr>
        <w:t xml:space="preserve"> № ___</w:t>
      </w:r>
    </w:p>
    <w:p w14:paraId="B3000000">
      <w:pPr>
        <w:spacing w:after="0" w:line="240" w:lineRule="auto"/>
        <w:ind w:firstLine="0" w:left="-709"/>
        <w:jc w:val="center"/>
        <w:rPr>
          <w:rFonts w:ascii="XO Thames" w:hAnsi="XO Thames"/>
        </w:rPr>
      </w:pPr>
      <w:r>
        <w:rPr>
          <w:rFonts w:ascii="XO Thames" w:hAnsi="XO Thames"/>
        </w:rPr>
        <w:t>Перечень профилактических мероприятий, сроки</w:t>
      </w:r>
    </w:p>
    <w:p w14:paraId="B4000000">
      <w:pPr>
        <w:spacing w:after="0" w:line="240" w:lineRule="auto"/>
        <w:ind w:firstLine="0" w:left="-709"/>
        <w:jc w:val="center"/>
        <w:rPr>
          <w:rFonts w:ascii="XO Thames" w:hAnsi="XO Thames"/>
        </w:rPr>
      </w:pPr>
      <w:r>
        <w:rPr>
          <w:rFonts w:ascii="XO Thames" w:hAnsi="XO Thames"/>
        </w:rPr>
        <w:t>(периодичность) их проведения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4"/>
        <w:gridCol w:w="2250"/>
        <w:gridCol w:w="2745"/>
        <w:gridCol w:w="4457"/>
      </w:tblGrid>
      <w:tr>
        <w:trPr>
          <w:trHeight w:hRule="atLeast" w:val="76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00000">
            <w:pPr>
              <w:ind w:firstLine="0" w:left="0" w:right="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№</w:t>
            </w:r>
          </w:p>
          <w:p w14:paraId="B6000000">
            <w:pPr>
              <w:ind w:firstLine="0" w:left="0" w:right="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п/п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Наименование</w:t>
            </w:r>
          </w:p>
          <w:p w14:paraId="B8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мероприятия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 w:firstLine="0" w:left="0"/>
              <w:jc w:val="center"/>
              <w:rPr>
                <w:rFonts w:ascii="XO Thames" w:hAnsi="XO Thames"/>
              </w:rPr>
            </w:pPr>
          </w:p>
          <w:p w14:paraId="BA000000">
            <w:pPr>
              <w:ind w:firstLine="0" w:left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срок исполнения</w:t>
            </w:r>
          </w:p>
        </w:tc>
        <w:tc>
          <w:tcPr>
            <w:tcW w:type="dxa" w:w="4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 w:firstLine="0" w:left="0" w:right="426"/>
              <w:jc w:val="center"/>
              <w:rPr>
                <w:rFonts w:ascii="XO Thames" w:hAnsi="XO Thames"/>
              </w:rPr>
            </w:pPr>
          </w:p>
          <w:p w14:paraId="BC000000">
            <w:pPr>
              <w:ind w:firstLine="0" w:left="0" w:right="426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ответственные за исполнение</w:t>
            </w:r>
          </w:p>
        </w:tc>
      </w:tr>
      <w:tr>
        <w:trPr>
          <w:trHeight w:hRule="atLeast" w:val="159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D000000">
            <w:pPr>
              <w:ind w:firstLine="0" w:left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 w:firstLine="0" w:left="0"/>
              <w:jc w:val="left"/>
              <w:rPr>
                <w:rFonts w:ascii="XO Thames" w:hAnsi="XO Thames"/>
                <w:color w:val="000000"/>
                <w:sz w:val="28"/>
              </w:rPr>
            </w:pPr>
            <w:r>
              <w:rPr>
                <w:rFonts w:ascii="XO Thames" w:hAnsi="XO Thames"/>
                <w:sz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 w:firstLine="0" w:left="0"/>
              <w:jc w:val="center"/>
              <w:rPr>
                <w:rFonts w:ascii="XO Thames" w:hAnsi="XO Thames"/>
                <w:sz w:val="28"/>
              </w:rPr>
            </w:pPr>
          </w:p>
          <w:p w14:paraId="C0000000">
            <w:pPr>
              <w:ind w:firstLine="0" w:left="0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постоянно</w:t>
            </w:r>
          </w:p>
        </w:tc>
        <w:tc>
          <w:tcPr>
            <w:tcW w:type="dxa" w:w="4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0" w:left="0" w:right="426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специалисты отдела имущественных и земельных отношений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0" w:left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Объявление предостережений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4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 w:firstLine="0" w:left="0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специалисты отдела имущественных и земельных отношений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 3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Консультирование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 мере обращения подконтрольных субъектов</w:t>
            </w:r>
          </w:p>
        </w:tc>
        <w:tc>
          <w:tcPr>
            <w:tcW w:type="dxa" w:w="4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 w:firstLine="0" w:left="0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специалисты отдела имущественных и земельных отношений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4.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Профилактический визит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 w:firstLine="0" w:left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I</w:t>
            </w:r>
            <w:r>
              <w:rPr>
                <w:rFonts w:ascii="XO Thames" w:hAnsi="XO Thames"/>
              </w:rPr>
              <w:t>-IV квартал 2023</w:t>
            </w:r>
          </w:p>
        </w:tc>
        <w:tc>
          <w:tcPr>
            <w:tcW w:type="dxa" w:w="4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 w:firstLine="0" w:left="0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специалисты отдела имущественных и земельных отношений</w:t>
            </w:r>
          </w:p>
        </w:tc>
      </w:tr>
      <w:tr>
        <w:trPr>
          <w:trHeight w:hRule="atLeast" w:val="929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 w:firstLine="0" w:left="0"/>
              <w:rPr>
                <w:rFonts w:ascii="XO Thames" w:hAnsi="XO Thames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firstLine="0" w:left="0"/>
              <w:rPr>
                <w:rFonts w:ascii="XO Thames" w:hAnsi="XO Thames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firstLine="0" w:left="0"/>
              <w:rPr>
                <w:rFonts w:ascii="XO Thames" w:hAnsi="XO Thames"/>
              </w:rPr>
            </w:pPr>
          </w:p>
        </w:tc>
        <w:tc>
          <w:tcPr>
            <w:tcW w:type="dxa" w:w="4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firstLine="0" w:left="0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специалисты отдела имущественных и земельных отношений</w:t>
            </w:r>
          </w:p>
          <w:p w14:paraId="D2000000">
            <w:pPr>
              <w:ind w:firstLine="0" w:left="0"/>
              <w:rPr>
                <w:rFonts w:ascii="XO Thames" w:hAnsi="XO Thames"/>
              </w:rPr>
            </w:pPr>
          </w:p>
        </w:tc>
      </w:tr>
    </w:tbl>
    <w:p w14:paraId="D3000000">
      <w:pPr>
        <w:spacing w:after="0" w:line="240" w:lineRule="auto"/>
        <w:ind w:firstLine="0" w:left="0"/>
        <w:jc w:val="center"/>
        <w:rPr>
          <w:rFonts w:ascii="Times New Roman" w:hAnsi="Times New Roman"/>
        </w:rPr>
      </w:pPr>
    </w:p>
    <w:p w14:paraId="D4000000">
      <w:pPr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D5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Консультирование осуществляется в устной или письменной форме по следующим вопросам:</w:t>
      </w:r>
    </w:p>
    <w:p w14:paraId="D6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организация и осуществление муниципального земельного контроля;</w:t>
      </w:r>
    </w:p>
    <w:p w14:paraId="D7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порядок осуществления контрольных мероприятий, установленных настоящим Положением;</w:t>
      </w:r>
    </w:p>
    <w:p w14:paraId="D8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D9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14:paraId="DA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DB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DC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 время консультирования предоставить ответ на поставленные вопросы невозможно;</w:t>
      </w:r>
    </w:p>
    <w:p w14:paraId="DD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ответ на поставленные вопросы требует дополнительного запроса сведений.</w:t>
      </w:r>
    </w:p>
    <w:p w14:paraId="DE000000">
      <w:pPr>
        <w:spacing w:after="0" w:line="240" w:lineRule="auto"/>
        <w:ind w:firstLine="0" w:left="0"/>
        <w:jc w:val="center"/>
        <w:rPr>
          <w:rFonts w:ascii="Tinos" w:hAnsi="Tinos"/>
        </w:rPr>
      </w:pPr>
    </w:p>
    <w:p w14:paraId="DF000000">
      <w:pPr>
        <w:pStyle w:val="Style_6"/>
        <w:rPr>
          <w:rFonts w:ascii="Tinos" w:hAnsi="Tinos"/>
          <w:sz w:val="28"/>
        </w:rPr>
      </w:pPr>
    </w:p>
    <w:p w14:paraId="E0000000">
      <w:pPr>
        <w:pStyle w:val="Style_6"/>
        <w:rPr>
          <w:rFonts w:ascii="Tinos" w:hAnsi="Tinos"/>
          <w:sz w:val="28"/>
        </w:rPr>
      </w:pPr>
    </w:p>
    <w:p w14:paraId="E1000000">
      <w:pPr>
        <w:tabs>
          <w:tab w:leader="none" w:pos="1701" w:val="left"/>
          <w:tab w:leader="none" w:pos="11907" w:val="left"/>
          <w:tab w:leader="none" w:pos="12333" w:val="left"/>
        </w:tabs>
        <w:spacing w:after="0" w:line="264" w:lineRule="auto"/>
        <w:ind w:firstLine="2126" w:left="-2126" w:right="-1"/>
        <w:rPr>
          <w:rFonts w:ascii="Tinos" w:hAnsi="Tinos"/>
          <w:sz w:val="28"/>
        </w:rPr>
      </w:pPr>
      <w:r>
        <w:rPr>
          <w:rFonts w:ascii="Tinos" w:hAnsi="Tinos"/>
          <w:sz w:val="28"/>
        </w:rPr>
        <w:t>Управляющий делами</w:t>
      </w:r>
      <w:r>
        <w:rPr>
          <w:rFonts w:ascii="Tinos" w:hAnsi="Tinos"/>
          <w:b w:val="0"/>
          <w:color w:val="000000"/>
          <w:sz w:val="28"/>
        </w:rPr>
        <w:t xml:space="preserve">                                                                                       А.В. Кулик</w:t>
      </w:r>
    </w:p>
    <w:sectPr>
      <w:footerReference r:id="rId2" w:type="default"/>
      <w:pgSz w:h="16838" w:orient="portrait" w:w="11906"/>
      <w:pgMar w:bottom="709" w:footer="567" w:gutter="0" w:header="567" w:left="1134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4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  <w:rPr>
        <w:rFonts w:ascii="Times New Roman" w:hAnsi="Times New Roman"/>
        <w:sz w:val="24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3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778"/>
      </w:pPr>
    </w:lvl>
    <w:lvl w:ilvl="3">
      <w:start w:val="1"/>
      <w:numFmt w:val="decimal"/>
      <w:lvlText w:val="%1.%2.%3.%4."/>
      <w:lvlJc w:val="left"/>
      <w:pPr>
        <w:ind w:hanging="1080" w:left="2487"/>
      </w:pPr>
    </w:lvl>
    <w:lvl w:ilvl="4">
      <w:start w:val="1"/>
      <w:numFmt w:val="decimal"/>
      <w:lvlText w:val="%1.%2.%3.%4.%5."/>
      <w:lvlJc w:val="left"/>
      <w:pPr>
        <w:ind w:hanging="1080" w:left="2836"/>
      </w:pPr>
    </w:lvl>
    <w:lvl w:ilvl="5">
      <w:start w:val="1"/>
      <w:numFmt w:val="decimal"/>
      <w:lvlText w:val="%1.%2.%3.%4.%5.%6."/>
      <w:lvlJc w:val="left"/>
      <w:pPr>
        <w:ind w:hanging="1440" w:left="3545"/>
      </w:pPr>
    </w:lvl>
    <w:lvl w:ilvl="6">
      <w:start w:val="1"/>
      <w:numFmt w:val="decimal"/>
      <w:lvlText w:val="%1.%2.%3.%4.%5.%6.%7."/>
      <w:lvlJc w:val="left"/>
      <w:pPr>
        <w:ind w:hanging="1800" w:left="4254"/>
      </w:pPr>
    </w:lvl>
    <w:lvl w:ilvl="7">
      <w:start w:val="1"/>
      <w:numFmt w:val="decimal"/>
      <w:lvlText w:val="%1.%2.%3.%4.%5.%6.%7.%8."/>
      <w:lvlJc w:val="left"/>
      <w:pPr>
        <w:ind w:hanging="1800" w:left="4603"/>
      </w:pPr>
    </w:lvl>
    <w:lvl w:ilvl="8">
      <w:start w:val="1"/>
      <w:numFmt w:val="decimal"/>
      <w:lvlText w:val="%1.%2.%3.%4.%5.%6.%7.%8.%9."/>
      <w:lvlJc w:val="left"/>
      <w:pPr>
        <w:ind w:hanging="2160" w:left="5312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pStyle w:val="Style_2"/>
      <w:lvlText w:val="%1.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406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478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550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622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694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766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838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9106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3" w:line="228" w:lineRule="auto"/>
      <w:ind w:firstLine="698" w:left="5531" w:right="210"/>
      <w:jc w:val="both"/>
    </w:pPr>
    <w:rPr>
      <w:color w:val="000000"/>
      <w:sz w:val="28"/>
    </w:rPr>
  </w:style>
  <w:style w:default="1" w:styleId="Style_6_ch" w:type="character">
    <w:name w:val="Normal"/>
    <w:link w:val="Style_6"/>
    <w:rPr>
      <w:color w:val="000000"/>
      <w:sz w:val="28"/>
    </w:rPr>
  </w:style>
  <w:style w:styleId="Style_7" w:type="paragraph">
    <w:name w:val="ConsPlusNormal"/>
    <w:link w:val="Style_7_ch"/>
    <w:pPr>
      <w:widowControl w:val="0"/>
      <w:ind/>
    </w:pPr>
    <w:rPr>
      <w:rFonts w:ascii="Times New Roman" w:hAnsi="Times New Roman"/>
      <w:sz w:val="24"/>
    </w:rPr>
  </w:style>
  <w:style w:styleId="Style_7_ch" w:type="character">
    <w:name w:val="ConsPlusNormal"/>
    <w:link w:val="Style_7"/>
    <w:rPr>
      <w:rFonts w:ascii="Times New Roman" w:hAnsi="Times New Roman"/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бычный (Интернет)"/>
    <w:basedOn w:val="Style_6"/>
    <w:link w:val="Style_10_ch"/>
    <w:pPr>
      <w:spacing w:afterAutospacing="on" w:beforeAutospacing="on" w:line="240" w:lineRule="auto"/>
      <w:ind w:firstLine="0" w:left="0" w:right="0"/>
      <w:jc w:val="left"/>
    </w:pPr>
    <w:rPr>
      <w:rFonts w:ascii="Times New Roman" w:hAnsi="Times New Roman"/>
      <w:color w:val="000000"/>
      <w:sz w:val="24"/>
    </w:rPr>
  </w:style>
  <w:style w:styleId="Style_10_ch" w:type="character">
    <w:name w:val="Обычный (Интернет)"/>
    <w:basedOn w:val="Style_6_ch"/>
    <w:link w:val="Style_10"/>
    <w:rPr>
      <w:rFonts w:ascii="Times New Roman" w:hAnsi="Times New Roman"/>
      <w:color w:val="000000"/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6_ch"/>
    <w:link w:val="Style_13"/>
    <w:rPr>
      <w:rFonts w:ascii="Segoe UI" w:hAnsi="Segoe UI"/>
      <w:sz w:val="18"/>
    </w:rPr>
  </w:style>
  <w:style w:styleId="Style_14" w:type="paragraph">
    <w:name w:val="ConsPlusTitle"/>
    <w:link w:val="Style_14_ch"/>
    <w:pPr>
      <w:widowControl w:val="0"/>
      <w:ind/>
    </w:pPr>
    <w:rPr>
      <w:rFonts w:ascii="Times New Roman" w:hAnsi="Times New Roman"/>
      <w:b w:val="1"/>
      <w:sz w:val="24"/>
    </w:rPr>
  </w:style>
  <w:style w:styleId="Style_14_ch" w:type="character">
    <w:name w:val="ConsPlusTitle"/>
    <w:link w:val="Style_14"/>
    <w:rPr>
      <w:rFonts w:ascii="Times New Roman" w:hAnsi="Times New Roman"/>
      <w:b w:val="1"/>
      <w:sz w:val="24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5" w:type="paragraph">
    <w:name w:val="heading 3"/>
    <w:next w:val="Style_6"/>
    <w:link w:val="Style_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_ch" w:type="character">
    <w:name w:val="heading 3"/>
    <w:link w:val="Style_5"/>
    <w:rPr>
      <w:rFonts w:ascii="XO Thames" w:hAnsi="XO Thames"/>
      <w:b w:val="1"/>
      <w:sz w:val="26"/>
    </w:rPr>
  </w:style>
  <w:style w:styleId="Style_15" w:type="paragraph">
    <w:name w:val="Неразрешенное упоминание"/>
    <w:link w:val="Style_15_ch"/>
    <w:rPr>
      <w:color w:val="605E5C"/>
      <w:shd w:fill="E1DFDD" w:val="clear"/>
    </w:rPr>
  </w:style>
  <w:style w:styleId="Style_15_ch" w:type="character">
    <w:name w:val="Неразрешенное упоминание"/>
    <w:link w:val="Style_15"/>
    <w:rPr>
      <w:color w:val="605E5C"/>
      <w:shd w:fill="E1DFDD" w:val="clear"/>
    </w:rPr>
  </w:style>
  <w:style w:styleId="Style_16" w:type="paragraph">
    <w:name w:val="List Paragraph"/>
    <w:basedOn w:val="Style_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" w:type="paragraph">
    <w:name w:val="heading 1"/>
    <w:next w:val="Style_6"/>
    <w:link w:val="Style_2_ch"/>
    <w:uiPriority w:val="9"/>
    <w:qFormat/>
    <w:pPr>
      <w:keepNext w:val="1"/>
      <w:keepLines w:val="1"/>
      <w:numPr>
        <w:numId w:val="3"/>
      </w:numPr>
      <w:spacing w:line="264" w:lineRule="auto"/>
      <w:ind w:hanging="10" w:left="10" w:right="5"/>
      <w:jc w:val="center"/>
      <w:outlineLvl w:val="0"/>
    </w:pPr>
    <w:rPr>
      <w:b w:val="1"/>
      <w:color w:val="000000"/>
      <w:sz w:val="28"/>
    </w:rPr>
  </w:style>
  <w:style w:styleId="Style_2_ch" w:type="character">
    <w:name w:val="heading 1"/>
    <w:link w:val="Style_2"/>
    <w:rPr>
      <w:b w:val="1"/>
      <w:color w:val="000000"/>
      <w:sz w:val="28"/>
    </w:rPr>
  </w:style>
  <w:style w:styleId="Style_20" w:type="paragraph">
    <w:name w:val="Hyperlink"/>
    <w:link w:val="Style_20_ch"/>
    <w:rPr>
      <w:color w:val="0563C1"/>
      <w:u w:val="single"/>
    </w:rPr>
  </w:style>
  <w:style w:styleId="Style_20_ch" w:type="character">
    <w:name w:val="Hyperlink"/>
    <w:link w:val="Style_20"/>
    <w:rPr>
      <w:color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header"/>
    <w:basedOn w:val="Style_6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6_ch"/>
    <w:link w:val="Style_3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Grid"/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2022-12-28T12:41:13Z</dcterms:modified>
</cp:coreProperties>
</file>