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/>
      </w:pPr>
      <w:r>
        <w:rPr/>
        <w:t>ОТЧЕТ</w:t>
      </w:r>
    </w:p>
    <w:p>
      <w:pPr>
        <w:pStyle w:val="Normal"/>
        <w:widowControl w:val="false"/>
        <w:jc w:val="center"/>
        <w:rPr/>
      </w:pPr>
      <w:r>
        <w:rPr/>
        <w:t xml:space="preserve">об исполнении плана реализации </w:t>
      </w:r>
      <w:r>
        <w:rPr>
          <w:rFonts w:cs="Courier New"/>
        </w:rPr>
        <w:t>муниципальной</w:t>
      </w:r>
      <w:r>
        <w:rPr/>
        <w:t xml:space="preserve"> программы «Территориальное планирование и обеспечение доступным и комфортным жильем населения Цимлянского района» за отчетный период 9 мес. 2022 г.</w:t>
      </w:r>
    </w:p>
    <w:p>
      <w:pPr>
        <w:pStyle w:val="Normal"/>
        <w:widowControl w:val="false"/>
        <w:jc w:val="center"/>
        <w:rPr/>
      </w:pPr>
      <w:r>
        <w:rPr/>
      </w:r>
    </w:p>
    <w:tbl>
      <w:tblPr>
        <w:tblW w:w="15876" w:type="dxa"/>
        <w:jc w:val="left"/>
        <w:tblInd w:w="-351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00"/>
      </w:tblPr>
      <w:tblGrid>
        <w:gridCol w:w="420"/>
        <w:gridCol w:w="2836"/>
        <w:gridCol w:w="2152"/>
        <w:gridCol w:w="1823"/>
        <w:gridCol w:w="1276"/>
        <w:gridCol w:w="1418"/>
        <w:gridCol w:w="1427"/>
        <w:gridCol w:w="1743"/>
        <w:gridCol w:w="1244"/>
        <w:gridCol w:w="1535"/>
      </w:tblGrid>
      <w:tr>
        <w:trPr>
          <w:trHeight w:val="573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75"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Номер и наименование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5" w:hanging="0"/>
              <w:jc w:val="center"/>
              <w:rPr/>
            </w:pPr>
            <w:r>
              <w:rPr/>
              <w:t xml:space="preserve">Ответственный </w:t>
              <w:br/>
              <w:t xml:space="preserve"> исполнитель, соисполнитель, участник</w:t>
              <w:br/>
              <w:t>(должность/ ФИО)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Результат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74" w:right="-75" w:hanging="0"/>
              <w:jc w:val="center"/>
              <w:rPr/>
            </w:pPr>
            <w:r>
              <w:rPr/>
              <w:t>Факти-ческая дата начала</w:t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Фактическая дата окончания</w:t>
              <w:br/>
              <w:t>реализации, наступле-н</w:t>
            </w:r>
            <w:r>
              <w:rPr/>
              <w:t>и</w:t>
            </w:r>
            <w:r>
              <w:rPr/>
              <w:t xml:space="preserve">я </w:t>
              <w:br/>
              <w:t xml:space="preserve">контроль-нго </w:t>
              <w:br/>
              <w:t>события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Расходы местного бюджета на реализацию </w:t>
            </w:r>
            <w:r>
              <w:rPr>
                <w:rFonts w:cs="Calibri"/>
              </w:rPr>
              <w:t>муниципальной</w:t>
            </w:r>
            <w:r>
              <w:rPr/>
              <w:t xml:space="preserve"> программы, тыс. рублей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Объемы неосвоенных средств и причины их неосвоения</w:t>
            </w:r>
          </w:p>
        </w:tc>
      </w:tr>
      <w:tr>
        <w:trPr>
          <w:trHeight w:val="720" w:hRule="atLeast"/>
        </w:trPr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5" w:hanging="0"/>
              <w:jc w:val="center"/>
              <w:rPr/>
            </w:pPr>
            <w:r>
              <w:rPr/>
              <w:t>предусмотрено</w:t>
            </w:r>
          </w:p>
          <w:p>
            <w:pPr>
              <w:pStyle w:val="Normal"/>
              <w:widowControl w:val="false"/>
              <w:ind w:left="-75" w:hanging="0"/>
              <w:jc w:val="center"/>
              <w:rPr/>
            </w:pPr>
            <w:r>
              <w:rPr>
                <w:rFonts w:cs="Calibri"/>
              </w:rPr>
              <w:t>муниципальной</w:t>
            </w:r>
            <w:r>
              <w:rPr/>
              <w:t xml:space="preserve"> программой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5" w:hanging="0"/>
              <w:jc w:val="center"/>
              <w:rPr/>
            </w:pPr>
            <w:r>
              <w:rPr/>
              <w:t>предусмотрено сводной бюджетной росписью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6" w:hanging="0"/>
              <w:jc w:val="center"/>
              <w:rPr/>
            </w:pPr>
            <w:r>
              <w:rPr/>
              <w:t>факт на отчетную дату</w:t>
            </w:r>
          </w:p>
        </w:tc>
        <w:tc>
          <w:tcPr>
            <w:tcW w:w="15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widowControl w:val="false"/>
        <w:jc w:val="center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877" w:type="dxa"/>
        <w:jc w:val="left"/>
        <w:tblInd w:w="-351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00"/>
      </w:tblPr>
      <w:tblGrid>
        <w:gridCol w:w="510"/>
        <w:gridCol w:w="2895"/>
        <w:gridCol w:w="1985"/>
        <w:gridCol w:w="1841"/>
        <w:gridCol w:w="1275"/>
        <w:gridCol w:w="1421"/>
        <w:gridCol w:w="1417"/>
        <w:gridCol w:w="1703"/>
        <w:gridCol w:w="1358"/>
        <w:gridCol w:w="1470"/>
      </w:tblGrid>
      <w:tr>
        <w:trPr>
          <w:tblHeader w:val="true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>
          <w:trHeight w:val="202" w:hRule="atLeast"/>
        </w:trPr>
        <w:tc>
          <w:tcPr>
            <w:tcW w:w="158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Муниципальная программа Цимлянского района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«Территориальное планирование и обеспечение доступным и комфортным жильем населения Цимлянского района»</w:t>
            </w:r>
          </w:p>
        </w:tc>
      </w:tr>
      <w:tr>
        <w:trPr>
          <w:trHeight w:val="202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Подпрограмма 1.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«Территориальное планирование и развитие территорий, в том числе для жилищного строительства</w:t>
            </w:r>
            <w:r>
              <w:rPr>
                <w:rFonts w:eastAsia="Calibri"/>
                <w:kern w:val="2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Менгель С.В.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395,0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395,0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395,0</w:t>
            </w:r>
            <w:r>
              <w:rPr/>
              <w:br/>
            </w:r>
          </w:p>
        </w:tc>
      </w:tr>
      <w:tr>
        <w:trPr>
          <w:trHeight w:val="26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1.1.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  <w:lang w:eastAsia="en-US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Менгель С.В.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</w:rPr>
              <w:t>Вовлечение в оборот земельных участков обеспечит реализацию планов освоения территорий, в том числе для жилищного строительства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1.2.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eastAsia="en-US"/>
              </w:rPr>
              <w:t>Проведение землеустроительных работ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Менгель С.В.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</w:rPr>
              <w:t>Разработка карт (планов) объектов землеустройства в отношении границ муниципальных образований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395,0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395,0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395,0</w:t>
            </w:r>
            <w:r>
              <w:rPr/>
              <w:br/>
              <w:t>освоение средств пла-нируется до 31.12.2022</w:t>
            </w:r>
          </w:p>
        </w:tc>
      </w:tr>
      <w:tr>
        <w:trPr/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1.3.</w:t>
            </w:r>
          </w:p>
          <w:p>
            <w:pPr>
              <w:pStyle w:val="Normal"/>
              <w:widowControl w:val="false"/>
              <w:rPr/>
            </w:pPr>
            <w:r>
              <w:rPr/>
              <w:t>Обеспечение перспективных земельных участков актуальными</w:t>
            </w:r>
          </w:p>
          <w:p>
            <w:pPr>
              <w:pStyle w:val="Normal"/>
              <w:widowControl w:val="false"/>
              <w:rPr/>
            </w:pPr>
            <w:r>
              <w:rPr/>
              <w:t>документами территориального</w:t>
            </w:r>
          </w:p>
          <w:p>
            <w:pPr>
              <w:pStyle w:val="Normal"/>
              <w:widowControl w:val="false"/>
              <w:rPr/>
            </w:pPr>
            <w:r>
              <w:rPr/>
              <w:t>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Менгель С.В.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Формирование территорий, в том числе для жилищного строительства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1.4.</w:t>
            </w:r>
          </w:p>
          <w:p>
            <w:pPr>
              <w:pStyle w:val="Normal"/>
              <w:widowControl w:val="false"/>
              <w:rPr/>
            </w:pPr>
            <w:r>
              <w:rPr/>
              <w:t>Улучшение предпринимательского</w:t>
            </w:r>
          </w:p>
          <w:p>
            <w:pPr>
              <w:pStyle w:val="Normal"/>
              <w:widowControl w:val="false"/>
              <w:rPr/>
            </w:pPr>
            <w:r>
              <w:rPr/>
              <w:t>климата в сфере строительства, в том числе для создания стандартного жилья, путем</w:t>
            </w:r>
          </w:p>
          <w:p>
            <w:pPr>
              <w:pStyle w:val="Normal"/>
              <w:widowControl w:val="false"/>
              <w:rPr/>
            </w:pPr>
            <w:r>
              <w:rPr/>
              <w:t>обеспечения мероприятий по</w:t>
            </w:r>
          </w:p>
          <w:p>
            <w:pPr>
              <w:pStyle w:val="Normal"/>
              <w:widowControl w:val="false"/>
              <w:rPr/>
            </w:pPr>
            <w:r>
              <w:rPr/>
              <w:t>снижению административных барьеров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/>
            </w:pPr>
            <w:r>
              <w:rPr/>
              <w:t>Менгель С.В.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Снижение административ-ных барьеров в целях улучшения предпринима-тельского климата  в сфере строительства, в том числе для создания стандартного жилья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20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Подпрограмма 2.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kern w:val="2"/>
              </w:rPr>
              <w:t>«</w:t>
            </w:r>
            <w:r>
              <w:rPr>
                <w:color w:val="000000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rFonts w:eastAsia="Calibri"/>
                <w:kern w:val="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Менгель С.В.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14 612,4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14 612,4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13 984,7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627,7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2.1.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  <w:lang w:eastAsia="en-US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Менгель С.В.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251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2.2.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  <w:lang w:eastAsia="en-US"/>
              </w:rPr>
              <w:t>Обеспечение жильем молодых семей в Цимлянском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Менгель С.В.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</w:rPr>
              <w:t>Улучшение жилищных условий молодых семей – участников основного мероприятия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1 188,7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1 188,7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1 188,5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2.3.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Менгель С.В.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  <w:lang w:eastAsia="en-US"/>
              </w:rPr>
              <w:t>Решение жилищной проблемы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13 423,7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13 423,7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12 796,2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627,5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При закупке квартир на аукционах происходи-ло пониже-ние стои-мости от начальной цены контракта</w:t>
            </w:r>
          </w:p>
        </w:tc>
      </w:tr>
      <w:tr>
        <w:trPr>
          <w:trHeight w:val="912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Итого по </w:t>
            </w:r>
            <w:r>
              <w:rPr>
                <w:rFonts w:cs="Calibri"/>
              </w:rPr>
              <w:t>муниципальной</w:t>
            </w:r>
            <w:r>
              <w:rPr/>
              <w:t xml:space="preserve">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15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007</w:t>
            </w:r>
            <w:r>
              <w:rPr/>
              <w:t>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15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007</w:t>
            </w:r>
            <w:r>
              <w:rPr/>
              <w:t>,4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13 984,7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1 022</w:t>
            </w:r>
            <w:r>
              <w:rPr/>
              <w:t>,7</w:t>
            </w:r>
          </w:p>
        </w:tc>
      </w:tr>
    </w:tbl>
    <w:p>
      <w:pPr>
        <w:pStyle w:val="Normal"/>
        <w:widowControl w:val="false"/>
        <w:ind w:right="-284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bookmarkStart w:id="0" w:name="Par1413"/>
      <w:bookmarkStart w:id="1" w:name="Par1413"/>
      <w:bookmarkEnd w:id="1"/>
    </w:p>
    <w:p>
      <w:pPr>
        <w:pStyle w:val="Normal"/>
        <w:widowControl w:val="false"/>
        <w:ind w:right="-284" w:hanging="0"/>
        <w:jc w:val="both"/>
        <w:rPr/>
      </w:pPr>
      <w:r>
        <w:rPr/>
      </w:r>
    </w:p>
    <w:p>
      <w:pPr>
        <w:pStyle w:val="Normal"/>
        <w:widowControl w:val="false"/>
        <w:ind w:right="-284" w:hanging="0"/>
        <w:jc w:val="both"/>
        <w:rPr>
          <w:color w:val="1F3864"/>
        </w:rPr>
      </w:pPr>
      <w:r>
        <w:rPr>
          <w:color w:val="1F3864"/>
        </w:rPr>
      </w:r>
    </w:p>
    <w:p>
      <w:pPr>
        <w:pStyle w:val="Normal"/>
        <w:jc w:val="both"/>
        <w:rPr/>
      </w:pPr>
      <w:r>
        <w:rPr/>
        <w:t>Заместитель главы Администрации Цимлянского района</w:t>
      </w:r>
    </w:p>
    <w:p>
      <w:pPr>
        <w:sectPr>
          <w:type w:val="nextPage"/>
          <w:pgSz w:orient="landscape" w:w="16838" w:h="11906"/>
          <w:pgMar w:left="1134" w:right="1134" w:header="0" w:top="284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i/>
          <w:i/>
          <w:iCs/>
        </w:rPr>
      </w:pPr>
      <w:r>
        <w:rPr/>
        <w:t>по строительству, ЖКХ и архитектуре                                                                                                                                                          С.В. Менгель</w:t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информация к отчету об исполнении плана реализации</w:t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left="0" w:right="0" w:firstLine="6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Цимлянского района «Территориальное </w:t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обеспечение доступным и комфортным жильем </w:t>
      </w:r>
    </w:p>
    <w:p>
      <w:pPr>
        <w:pStyle w:val="Normal"/>
        <w:shd w:val="clear" w:color="auto" w:fill="FFFFFF"/>
        <w:ind w:left="6"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населения Цимлянского района» на 2022 год </w:t>
      </w:r>
    </w:p>
    <w:p>
      <w:pPr>
        <w:pStyle w:val="Normal"/>
        <w:shd w:val="clear" w:color="auto" w:fill="FFFFFF"/>
        <w:ind w:left="6" w:firstLine="703"/>
        <w:jc w:val="center"/>
        <w:rPr>
          <w:sz w:val="28"/>
          <w:szCs w:val="28"/>
        </w:rPr>
      </w:pPr>
      <w:r>
        <w:rPr>
          <w:sz w:val="28"/>
          <w:szCs w:val="28"/>
        </w:rPr>
        <w:t>по итогам 9 месяцев 2022 года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Цимлянского района «Территориальное  планирование и обеспечение доступным и комфортным жильем населения Цимлянского района» утверждена </w:t>
      </w:r>
      <w:r>
        <w:rPr>
          <w:kern w:val="2"/>
          <w:sz w:val="28"/>
          <w:szCs w:val="28"/>
        </w:rPr>
        <w:t>постановлением Администрации Цимлянского района от 19.12.2018 № 955</w:t>
      </w:r>
      <w:r>
        <w:rPr>
          <w:sz w:val="28"/>
          <w:szCs w:val="28"/>
        </w:rPr>
        <w:t xml:space="preserve">. На реализацию муниципальной программы </w:t>
      </w:r>
      <w:r>
        <w:rPr>
          <w:sz w:val="28"/>
          <w:szCs w:val="28"/>
        </w:rPr>
        <w:t>в 2022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редусмотрено 15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007</w:t>
      </w:r>
      <w:r>
        <w:rPr>
          <w:sz w:val="28"/>
          <w:szCs w:val="28"/>
        </w:rPr>
        <w:t xml:space="preserve">,4 тыс. рублей, сводной бюджетной росписью — </w:t>
      </w:r>
      <w:r>
        <w:rPr>
          <w:sz w:val="28"/>
          <w:szCs w:val="28"/>
        </w:rPr>
        <w:t xml:space="preserve">15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007,</w:t>
      </w:r>
      <w:r>
        <w:rPr>
          <w:sz w:val="28"/>
          <w:szCs w:val="28"/>
        </w:rPr>
        <w:t xml:space="preserve">4 тыс. рублей. Фактическое освоение средств по итогам </w:t>
      </w:r>
      <w:r>
        <w:rPr>
          <w:sz w:val="28"/>
          <w:szCs w:val="28"/>
        </w:rPr>
        <w:t>9 мес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яцев </w:t>
      </w:r>
      <w:r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составило 13 984,7 тыс. рублей или 9</w:t>
      </w:r>
      <w:r>
        <w:rPr>
          <w:sz w:val="28"/>
          <w:szCs w:val="28"/>
        </w:rPr>
        <w:t>3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,2</w:t>
      </w:r>
      <w:r>
        <w:rPr>
          <w:sz w:val="28"/>
          <w:szCs w:val="28"/>
        </w:rPr>
        <w:t>% от предусмотренного сводной бюджетной росписью объема.</w:t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включает в себя следующие подпрограммы: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1 - «Территориальное планирование и развитие территорий, в том числе для жилищного строительства» (далее – подпрограмма 1);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2 - «Оказание мер государственной поддержки в улучшении жилищных условий отдельным категориям граждан» (далее – подпрограмма 2).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муниципальной программы на 2022 год утвержден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Распоряжением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Администрации Цимлянского района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312 </w:t>
      </w:r>
      <w:r>
        <w:rPr>
          <w:rFonts w:eastAsia="Times New Roman" w:cs="Times New Roman"/>
          <w:sz w:val="28"/>
          <w:szCs w:val="28"/>
          <w:lang w:eastAsia="ru-RU"/>
        </w:rPr>
        <w:t xml:space="preserve">от 16.12.2021.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1 в 20</w:t>
      </w:r>
      <w:r>
        <w:rPr>
          <w:rFonts w:eastAsia="Times New Roman" w:cs="Times New Roman"/>
          <w:sz w:val="28"/>
          <w:szCs w:val="28"/>
          <w:lang w:eastAsia="ru-RU"/>
        </w:rPr>
        <w:t>22</w:t>
      </w:r>
      <w:r>
        <w:rPr>
          <w:sz w:val="28"/>
          <w:szCs w:val="28"/>
        </w:rPr>
        <w:t xml:space="preserve"> году муниципальной программой предусмотрено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395,0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</w:rPr>
        <w:t>т</w:t>
      </w:r>
      <w:r>
        <w:rPr>
          <w:sz w:val="28"/>
          <w:szCs w:val="28"/>
        </w:rPr>
        <w:t xml:space="preserve">ыс. рублей, сводной бюджетной росписью –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395</w:t>
      </w:r>
      <w:r>
        <w:rPr>
          <w:sz w:val="28"/>
          <w:szCs w:val="28"/>
        </w:rPr>
        <w:t xml:space="preserve">,0 тыс. рублей. Фактическое освоение средств по итогам </w:t>
      </w:r>
      <w:r>
        <w:rPr>
          <w:rFonts w:eastAsia="Times New Roman" w:cs="Times New Roman"/>
          <w:sz w:val="28"/>
          <w:szCs w:val="28"/>
          <w:lang w:eastAsia="ru-RU"/>
        </w:rPr>
        <w:t>9 мес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яцев</w:t>
      </w:r>
      <w:r>
        <w:rPr>
          <w:rFonts w:eastAsia="Times New Roman" w:cs="Times New Roman"/>
          <w:sz w:val="28"/>
          <w:szCs w:val="28"/>
          <w:lang w:eastAsia="ru-RU"/>
        </w:rPr>
        <w:t xml:space="preserve"> 2022</w:t>
      </w:r>
      <w:r>
        <w:rPr>
          <w:sz w:val="28"/>
          <w:szCs w:val="28"/>
        </w:rPr>
        <w:t xml:space="preserve"> года составило </w:t>
      </w:r>
      <w:r>
        <w:rPr>
          <w:rFonts w:eastAsia="Times New Roman" w:cs="Times New Roman"/>
          <w:sz w:val="28"/>
          <w:szCs w:val="28"/>
          <w:lang w:eastAsia="ru-RU"/>
        </w:rPr>
        <w:t>0</w:t>
      </w:r>
      <w:r>
        <w:rPr>
          <w:sz w:val="28"/>
          <w:szCs w:val="28"/>
        </w:rPr>
        <w:t xml:space="preserve"> тыс. рублей или </w:t>
      </w:r>
      <w:r>
        <w:rPr>
          <w:rFonts w:eastAsia="Times New Roman" w:cs="Times New Roman"/>
          <w:sz w:val="28"/>
          <w:szCs w:val="28"/>
          <w:lang w:eastAsia="ru-RU"/>
        </w:rPr>
        <w:t xml:space="preserve">0 </w:t>
      </w:r>
      <w:r>
        <w:rPr>
          <w:sz w:val="28"/>
          <w:szCs w:val="28"/>
        </w:rPr>
        <w:t>процентов.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1 в 20</w:t>
      </w:r>
      <w:r>
        <w:rPr>
          <w:rFonts w:eastAsia="Times New Roman" w:cs="Times New Roman"/>
          <w:sz w:val="28"/>
          <w:szCs w:val="28"/>
          <w:lang w:eastAsia="ru-RU"/>
        </w:rPr>
        <w:t>22</w:t>
      </w:r>
      <w:r>
        <w:rPr>
          <w:sz w:val="28"/>
          <w:szCs w:val="28"/>
        </w:rPr>
        <w:t xml:space="preserve"> году предусмотрено 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sz w:val="28"/>
          <w:szCs w:val="28"/>
        </w:rPr>
        <w:t xml:space="preserve"> основн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ых</w:t>
      </w:r>
      <w:r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>
        <w:rPr>
          <w:i/>
          <w:sz w:val="28"/>
          <w:szCs w:val="28"/>
        </w:rPr>
        <w:t xml:space="preserve">. </w:t>
      </w:r>
      <w:r>
        <w:rPr>
          <w:i w:val="false"/>
          <w:iCs w:val="false"/>
          <w:sz w:val="28"/>
          <w:szCs w:val="28"/>
        </w:rPr>
        <w:t xml:space="preserve">Выполнение основного мероприятия 1.2. </w:t>
      </w:r>
      <w:r>
        <w:rPr>
          <w:i w:val="false"/>
          <w:iCs w:val="false"/>
          <w:sz w:val="28"/>
          <w:szCs w:val="28"/>
          <w:lang w:eastAsia="en-US"/>
        </w:rPr>
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 — запланирован</w:t>
      </w:r>
      <w:r>
        <w:rPr>
          <w:i w:val="false"/>
          <w:iCs w:val="false"/>
          <w:sz w:val="28"/>
          <w:szCs w:val="28"/>
          <w:lang w:eastAsia="en-US"/>
        </w:rPr>
        <w:t>о</w:t>
      </w:r>
      <w:r>
        <w:rPr>
          <w:i w:val="false"/>
          <w:iCs w:val="false"/>
          <w:sz w:val="28"/>
          <w:szCs w:val="28"/>
          <w:lang w:eastAsia="en-US"/>
        </w:rPr>
        <w:t xml:space="preserve"> на конец года.</w:t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i w:val="false"/>
          <w:iCs w:val="false"/>
          <w:sz w:val="28"/>
          <w:szCs w:val="28"/>
        </w:rPr>
        <w:t>На реализацию мероприятий под</w:t>
      </w:r>
      <w:r>
        <w:rPr>
          <w:sz w:val="28"/>
          <w:szCs w:val="28"/>
        </w:rPr>
        <w:t>программы 2 в 2</w:t>
      </w:r>
      <w:r>
        <w:rPr>
          <w:rFonts w:eastAsia="Times New Roman" w:cs="Times New Roman"/>
          <w:sz w:val="28"/>
          <w:szCs w:val="28"/>
          <w:lang w:eastAsia="ru-RU"/>
        </w:rPr>
        <w:t xml:space="preserve">022 </w:t>
      </w:r>
      <w:r>
        <w:rPr>
          <w:sz w:val="28"/>
          <w:szCs w:val="28"/>
        </w:rPr>
        <w:t xml:space="preserve">году муниципальной программой предусмотрено 14 612,4 тыс. рублей, сводной бюджетной росписью – 14 612,4 тыс. рублей. Фактическое освоение средств по итогам </w:t>
      </w:r>
      <w:r>
        <w:rPr>
          <w:sz w:val="28"/>
          <w:szCs w:val="28"/>
        </w:rPr>
        <w:t>9 мес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яцев</w:t>
      </w:r>
      <w:r>
        <w:rPr>
          <w:sz w:val="28"/>
          <w:szCs w:val="28"/>
        </w:rPr>
        <w:t xml:space="preserve"> 2022 г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ода </w:t>
      </w:r>
      <w:r>
        <w:rPr>
          <w:sz w:val="28"/>
          <w:szCs w:val="28"/>
        </w:rPr>
        <w:t xml:space="preserve">составило 13 984,67 тыс. рублей или </w:t>
      </w:r>
      <w:r>
        <w:rPr>
          <w:rFonts w:eastAsia="Times New Roman" w:cs="Times New Roman"/>
          <w:sz w:val="28"/>
          <w:szCs w:val="28"/>
          <w:lang w:eastAsia="ru-RU"/>
        </w:rPr>
        <w:t xml:space="preserve">95,7 </w:t>
      </w:r>
      <w:r>
        <w:rPr>
          <w:sz w:val="28"/>
          <w:szCs w:val="28"/>
        </w:rPr>
        <w:t>процентов.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в 20</w:t>
      </w:r>
      <w:r>
        <w:rPr>
          <w:rFonts w:eastAsia="Times New Roman" w:cs="Times New Roman"/>
          <w:sz w:val="28"/>
          <w:szCs w:val="28"/>
          <w:lang w:eastAsia="ru-RU"/>
        </w:rPr>
        <w:t>22</w:t>
      </w:r>
      <w:r>
        <w:rPr>
          <w:sz w:val="28"/>
          <w:szCs w:val="28"/>
        </w:rPr>
        <w:t xml:space="preserve"> году предусмотрено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sz w:val="28"/>
          <w:szCs w:val="28"/>
        </w:rPr>
        <w:t xml:space="preserve"> основн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ых</w:t>
      </w:r>
      <w:r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>
        <w:rPr>
          <w:i/>
          <w:sz w:val="28"/>
          <w:szCs w:val="28"/>
        </w:rPr>
        <w:t xml:space="preserve">. </w:t>
      </w:r>
      <w:r>
        <w:rPr>
          <w:i w:val="false"/>
          <w:iCs w:val="false"/>
          <w:sz w:val="28"/>
          <w:szCs w:val="28"/>
        </w:rPr>
        <w:t xml:space="preserve">Основное мероприятие 2.2. </w:t>
      </w:r>
      <w:r>
        <w:rPr>
          <w:i w:val="false"/>
          <w:iCs w:val="false"/>
          <w:kern w:val="2"/>
          <w:sz w:val="28"/>
          <w:szCs w:val="28"/>
          <w:lang w:eastAsia="en-US"/>
        </w:rPr>
        <w:t xml:space="preserve">Обеспечение жильем молодых семей в Цимлянском районе — выполнено в полном объеме. Основное мероприятие 2.3.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— выполнено в полном объеме, а также, </w:t>
      </w:r>
      <w:r>
        <w:rPr>
          <w:i w:val="false"/>
          <w:iCs w:val="false"/>
          <w:kern w:val="2"/>
          <w:sz w:val="28"/>
          <w:szCs w:val="28"/>
          <w:lang w:eastAsia="en-US"/>
        </w:rPr>
        <w:t>п</w:t>
      </w:r>
      <w:r>
        <w:rPr>
          <w:i w:val="false"/>
          <w:iCs w:val="false"/>
          <w:kern w:val="2"/>
          <w:sz w:val="28"/>
          <w:szCs w:val="28"/>
          <w:lang w:eastAsia="en-US"/>
        </w:rPr>
        <w:t xml:space="preserve">ри закупке квартир на аукционах происходило понижение стоимости от начальной цены контракта. </w:t>
      </w:r>
      <w:r>
        <w:rPr>
          <w:i w:val="false"/>
          <w:iCs w:val="false"/>
          <w:kern w:val="2"/>
          <w:sz w:val="28"/>
          <w:szCs w:val="28"/>
          <w:lang w:eastAsia="en-US"/>
        </w:rPr>
        <w:t>В связи с этим произошла экономия средств в размере 627,5 тыс. руб., что сост</w:t>
      </w:r>
      <w:r>
        <w:rPr>
          <w:rFonts w:eastAsia="Times New Roman" w:cs="Times New Roman"/>
          <w:i w:val="false"/>
          <w:iCs w:val="false"/>
          <w:color w:val="auto"/>
          <w:kern w:val="2"/>
          <w:sz w:val="28"/>
          <w:szCs w:val="28"/>
          <w:lang w:val="ru-RU" w:eastAsia="en-US" w:bidi="ar-SA"/>
        </w:rPr>
        <w:t>а</w:t>
      </w:r>
      <w:r>
        <w:rPr>
          <w:i w:val="false"/>
          <w:iCs w:val="false"/>
          <w:kern w:val="2"/>
          <w:sz w:val="28"/>
          <w:szCs w:val="28"/>
          <w:lang w:eastAsia="en-US"/>
        </w:rPr>
        <w:t>вляет 4,6% от средств, предусмотренных сводной бюджетной росписью.</w:t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</w:t>
      </w:r>
      <w:r>
        <w:rPr>
          <w:sz w:val="28"/>
          <w:szCs w:val="28"/>
        </w:rPr>
        <w:t>ходе анализа исполнения плана реализации муниципальной программы не установлено несоблюдение сроков исполнения основных мероприятий.</w:t>
      </w:r>
    </w:p>
    <w:p>
      <w:pPr>
        <w:pStyle w:val="Normal"/>
        <w:shd w:val="clear" w:color="auto" w:fill="FFFFFF"/>
        <w:ind w:left="14" w:right="10" w:firstLine="475"/>
        <w:jc w:val="both"/>
        <w:rPr/>
      </w:pPr>
      <w:r>
        <w:rPr/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 строительству, ЖКХ и архитектуре</w:t>
        <w:tab/>
        <w:t xml:space="preserve">                                           С.В. Менгель</w:t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2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bb33a9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bb33a9"/>
    <w:pPr>
      <w:keepNext w:val="true"/>
      <w:spacing w:before="240" w:after="120"/>
    </w:pPr>
    <w:rPr>
      <w:rFonts w:eastAsia="Noto Sans CJK SC" w:cs="Lohit Devanagari"/>
      <w:sz w:val="32"/>
      <w:szCs w:val="28"/>
    </w:rPr>
  </w:style>
  <w:style w:type="paragraph" w:styleId="Style16">
    <w:name w:val="Body Text"/>
    <w:basedOn w:val="Normal"/>
    <w:rsid w:val="00bb33a9"/>
    <w:pPr>
      <w:spacing w:lineRule="auto" w:line="276" w:before="0" w:after="140"/>
    </w:pPr>
    <w:rPr/>
  </w:style>
  <w:style w:type="paragraph" w:styleId="Style17">
    <w:name w:val="List"/>
    <w:basedOn w:val="Style16"/>
    <w:rsid w:val="00bb33a9"/>
    <w:pPr/>
    <w:rPr>
      <w:rFonts w:cs="Lohit Devanagari"/>
    </w:rPr>
  </w:style>
  <w:style w:type="paragraph" w:styleId="Style18" w:customStyle="1">
    <w:name w:val="Caption"/>
    <w:basedOn w:val="Normal"/>
    <w:qFormat/>
    <w:rsid w:val="00bb33a9"/>
    <w:pPr>
      <w:suppressLineNumbers/>
      <w:spacing w:before="120" w:after="120"/>
    </w:pPr>
    <w:rPr>
      <w:rFonts w:cs="Lohit Devanagari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  <w:sz w:val="24"/>
    </w:rPr>
  </w:style>
  <w:style w:type="paragraph" w:styleId="Indexheading">
    <w:name w:val="index heading"/>
    <w:basedOn w:val="Normal"/>
    <w:qFormat/>
    <w:rsid w:val="00bb33a9"/>
    <w:pPr>
      <w:suppressLineNumbers/>
    </w:pPr>
    <w:rPr>
      <w:rFonts w:cs="Lohit Devanagari"/>
    </w:rPr>
  </w:style>
  <w:style w:type="paragraph" w:styleId="ConsPlusNonformat" w:customStyle="1">
    <w:name w:val="ConsPlusNonformat"/>
    <w:uiPriority w:val="99"/>
    <w:qFormat/>
    <w:rsid w:val="008e624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next w:val="Normal"/>
    <w:qFormat/>
    <w:rsid w:val="00bb33a9"/>
    <w:pPr>
      <w:widowControl w:val="false"/>
      <w:suppressAutoHyphens w:val="true"/>
      <w:bidi w:val="0"/>
      <w:spacing w:lineRule="auto" w:line="276" w:before="0" w:after="0"/>
      <w:ind w:firstLine="720"/>
      <w:jc w:val="left"/>
    </w:pPr>
    <w:rPr>
      <w:rFonts w:ascii="Arial" w:hAnsi="Arial" w:eastAsia="Arial" w:cs="" w:cstheme="minorBidi"/>
      <w:color w:val="auto"/>
      <w:kern w:val="2"/>
      <w:sz w:val="24"/>
      <w:szCs w:val="22"/>
      <w:lang w:val="ru-RU" w:eastAsia="en-US" w:bidi="ar-SA"/>
    </w:rPr>
  </w:style>
  <w:style w:type="paragraph" w:styleId="ConsPlusTitle" w:customStyle="1">
    <w:name w:val="ConsPlusTitle"/>
    <w:basedOn w:val="Normal"/>
    <w:next w:val="ConsPlusNormal"/>
    <w:qFormat/>
    <w:rsid w:val="00bb33a9"/>
    <w:pPr/>
    <w:rPr>
      <w:rFonts w:ascii="Arial" w:hAnsi="Arial" w:eastAsia="Arial" w:cs="Arial"/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LibreOffice/7.0.4.2$Linux_X86_64 LibreOffice_project/00$Build-2</Application>
  <AppVersion>15.0000</AppVersion>
  <Pages>6</Pages>
  <Words>953</Words>
  <Characters>6517</Characters>
  <CharactersWithSpaces>7518</CharactersWithSpaces>
  <Paragraphs>171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2020-10-27T12:21:00Z</dcterms:created>
  <dc:creator>user</dc:creator>
  <dc:description/>
  <dc:language>ru-RU</dc:language>
  <cp:lastModifiedBy/>
  <cp:lastPrinted>2022-10-24T14:48:55Z</cp:lastPrinted>
  <dcterms:modified xsi:type="dcterms:W3CDTF">2022-10-24T15:02:04Z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