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360"/>
        <w:jc w:val="center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/>
      <w:bookmarkStart w:id="0" w:name="_GoBack"/>
      <w:r/>
      <w:bookmarkEnd w:id="0"/>
      <w:r/>
      <w:r/>
    </w:p>
    <w:p>
      <w:pPr>
        <w:ind w:left="-360"/>
        <w:jc w:val="center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ОТЧЕТ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/>
    </w:p>
    <w:p>
      <w:pPr>
        <w:jc w:val="center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Энергоэффективность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развитие энергетики»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отчетный период 9 мес. 2022 г.</w:t>
      </w:r>
      <w:r/>
    </w:p>
    <w:tbl>
      <w:tblPr>
        <w:tblW w:w="15593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07"/>
        <w:gridCol w:w="2551"/>
        <w:gridCol w:w="1604"/>
        <w:gridCol w:w="1418"/>
        <w:gridCol w:w="1559"/>
        <w:gridCol w:w="1655"/>
        <w:gridCol w:w="1463"/>
        <w:gridCol w:w="993"/>
        <w:gridCol w:w="1417"/>
      </w:tblGrid>
      <w:tr>
        <w:trPr>
          <w:trHeight w:val="8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vMerge w:val="restart"/>
            <w:textDirection w:val="lrTb"/>
            <w:noWrap w:val="false"/>
          </w:tcPr>
          <w:p>
            <w:pPr>
              <w:ind w:right="-7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Merge w:val="restart"/>
            <w:textDirection w:val="lrTb"/>
            <w:noWrap w:val="false"/>
          </w:tcPr>
          <w:p>
            <w:pPr>
              <w:ind w:left="-7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tooltip="#Par1127" w:anchor="Par1127" w:history="1">
              <w: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&lt;1&gt;</w:t>
              </w:r>
            </w:hyperlink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60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реализации (краткое описание)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ind w:left="-74" w:right="-7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события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реализацию муниципальной программы, тыс. рублей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неосвоения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/>
            <w:hyperlink w:tooltip="#Par1127" w:anchor="Par1127" w:history="1">
              <w: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&lt;2&gt;</w:t>
              </w:r>
            </w:hyperlink>
            <w:r/>
            <w:r/>
          </w:p>
        </w:tc>
      </w:tr>
      <w:tr>
        <w:trPr>
          <w:trHeight w:val="72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0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55" w:type="dxa"/>
            <w:textDirection w:val="lrTb"/>
            <w:noWrap w:val="false"/>
          </w:tcPr>
          <w:p>
            <w:pPr>
              <w:ind w:left="-7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предусмотрено</w:t>
            </w:r>
            <w:r/>
          </w:p>
          <w:p>
            <w:pPr>
              <w:ind w:left="-7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программой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3" w:type="dxa"/>
            <w:textDirection w:val="lrTb"/>
            <w:noWrap w:val="false"/>
          </w:tcPr>
          <w:p>
            <w:pPr>
              <w:ind w:left="-7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предусмотрено сводной бюджетной росписью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ind w:left="-76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6"/>
          <w:szCs w:val="6"/>
          <w:lang w:eastAsia="ru-RU"/>
        </w:rPr>
      </w:pPr>
      <w:r>
        <w:rPr>
          <w:rFonts w:ascii="Times New Roman" w:hAnsi="Times New Roman" w:cs="Times New Roman"/>
          <w:sz w:val="6"/>
          <w:szCs w:val="6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"/>
          <w:szCs w:val="2"/>
          <w:lang w:eastAsia="ru-RU"/>
        </w:rPr>
      </w:pPr>
      <w:r>
        <w:rPr>
          <w:rFonts w:ascii="Times New Roman" w:hAnsi="Times New Roman" w:cs="Times New Roman"/>
          <w:sz w:val="2"/>
          <w:szCs w:val="2"/>
          <w:lang w:eastAsia="ru-RU"/>
        </w:rPr>
      </w:r>
      <w:r/>
    </w:p>
    <w:tbl>
      <w:tblPr>
        <w:tblW w:w="15593" w:type="dxa"/>
        <w:tblInd w:w="-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07"/>
        <w:gridCol w:w="2551"/>
        <w:gridCol w:w="1604"/>
        <w:gridCol w:w="1418"/>
        <w:gridCol w:w="1559"/>
        <w:gridCol w:w="1655"/>
        <w:gridCol w:w="1464"/>
        <w:gridCol w:w="992"/>
        <w:gridCol w:w="1417"/>
      </w:tblGrid>
      <w:tr>
        <w:trPr>
          <w:tblHeader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5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16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16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</w:t>
            </w:r>
            <w:r/>
          </w:p>
        </w:tc>
      </w:tr>
      <w:tr>
        <w:trPr>
          <w:trHeight w:val="202"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507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1</w:t>
            </w:r>
            <w:r/>
          </w:p>
          <w:p>
            <w:pPr>
              <w:jc w:val="left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эффективности»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Цимлянского района по строительству, ЖКХ и архитектуре Менгель С.В.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главный врач МБУЗ «ЦРБ» Бабко Е.Г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заведующий отделом культуры Администрации Цимлянского района Тимохина Н.Ю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образования Администрации Цимлянского района Антипов И.В.</w:t>
            </w:r>
            <w:r/>
          </w:p>
        </w:tc>
        <w:tc>
          <w:tcPr>
            <w:tcW w:w="16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tcW w:w="16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632,3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632,3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587,3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45,0</w:t>
            </w:r>
            <w:r/>
          </w:p>
        </w:tc>
      </w:tr>
      <w:tr>
        <w:trPr>
          <w:trHeight w:val="3682"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2507" w:type="dxa"/>
            <w:textDirection w:val="lrTb"/>
            <w:noWrap w:val="false"/>
          </w:tcPr>
          <w:p>
            <w:pPr>
              <w:jc w:val="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Цимлянского района по строительству, ЖКХ и архитектуре Менгель С.В.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главный врач МБУЗ «ЦРБ» Бабко Е.Г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заведующий отделом культуры Администрации Цимлянского района Тимохина Н.Ю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образования Администрации Цимлянского района Антипов И.В.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6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расчетов бюджетных учреждений за потребляемые объемы энергетических ресурсов по приборам учета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31.12.2022</w:t>
            </w:r>
            <w:r/>
          </w:p>
        </w:tc>
        <w:tc>
          <w:tcPr>
            <w:tcW w:w="16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632,3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632,3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587,3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45,0 – планируется освоить до конца текущего года</w:t>
            </w:r>
            <w:r/>
          </w:p>
        </w:tc>
      </w:tr>
      <w:tr>
        <w:trPr>
          <w:trHeight w:val="263"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2507" w:type="dxa"/>
            <w:textDirection w:val="lrTb"/>
            <w:noWrap w:val="false"/>
          </w:tcPr>
          <w:p>
            <w:pPr>
              <w:jc w:val="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энергосберегающего оборудования и материалов для бюджетных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Цимлянского района по строительству, ЖКХ и архитектуре Менгель С.В.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врач МБУЗ «ЦРБ» Бабко Е.Г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культуры Администрации Цимлянского района Тимохина Н.Ю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образования Администрации Цимлянского района Антипов И.В.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</w:r>
            <w:r/>
          </w:p>
        </w:tc>
        <w:tc>
          <w:tcPr>
            <w:tcW w:w="16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энергетической эффективности бюджетных учреждений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31.12.2022</w:t>
            </w:r>
            <w:r/>
          </w:p>
        </w:tc>
        <w:tc>
          <w:tcPr>
            <w:tcW w:w="165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</w:tr>
      <w:tr>
        <w:trPr>
          <w:trHeight w:val="263"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r>
            <w:r/>
          </w:p>
        </w:tc>
        <w:tc>
          <w:tcPr>
            <w:tcW w:w="2507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/>
          </w:p>
          <w:p>
            <w:pPr>
              <w:jc w:val="lef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и модернизация электрических сетей, включая сети уличного освещения»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Цимлянского района по строительству, ЖКХ и архитектуре Менгель С.В.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врач МБУЗ «ЦРБ» Бабко Е.Г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культуры Администрации Цимлянского района Тимохина Н.Ю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образования Администрации Цимлянского района Антипов И.В.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</w:r>
            <w:r/>
          </w:p>
        </w:tc>
        <w:tc>
          <w:tcPr>
            <w:tcW w:w="160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tcW w:w="165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</w:tr>
      <w:tr>
        <w:trPr>
          <w:trHeight w:val="263"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2507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электрических сетей, реконструкция объектов электрических сетей, приобретение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оборудования и материалов для развития и восстановления объектов электрических сетей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Цимлянского района по строительству, ЖКХ и архитектуре Менгель С.В.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главный врач МБУЗ «ЦРБ» Бабко Е.Г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заведующий отделом культуры Администрации Цимлянского района Тимохина Н.Ю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образования Администрации Цимлянского района Антипов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16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к финансированию реконструк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ция электрических сетей, 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надежности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предоставления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электроснабжения населению Цимлянского района, сокращение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восстановления объектов электроснабжения Цимлянского района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31.12.2022</w:t>
            </w:r>
            <w:r/>
          </w:p>
        </w:tc>
        <w:tc>
          <w:tcPr>
            <w:tcW w:w="165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</w:tr>
      <w:tr>
        <w:trPr>
          <w:trHeight w:val="263"/>
        </w:trPr>
        <w:tc>
          <w:tcPr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2507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объектов электрических сетей, реконструкция объектов электрических сетей, приобретение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оборудования и материалов для развития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восстановления объектов электрических сетей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Цимлянского района по строительству, ЖКХ и архитектуре Менгель С.В.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главный врач МБУЗ «ЦРБ» Бабко Е.Г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заведующий отделом культуры Администрации Цимлянского района Тимохина Н.Ю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образования Администрации Цимлянского района Антипов И.В.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6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к финансированию строительства и реконструкции электрических сетей наружного (уличного) освещения,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уровня освещенности, сокращение сроков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восстановления электрических сетей наружного (уличного) освещения</w:t>
            </w:r>
            <w:r/>
          </w:p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31.12.2022</w:t>
            </w:r>
            <w:r/>
          </w:p>
        </w:tc>
        <w:tc>
          <w:tcPr>
            <w:tcW w:w="165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50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программе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</w:t>
            </w:r>
            <w:r/>
          </w:p>
        </w:tc>
        <w:tc>
          <w:tcPr>
            <w:tcW w:w="16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</w:t>
            </w:r>
            <w:r/>
          </w:p>
        </w:tc>
        <w:tc>
          <w:tcPr>
            <w:tcW w:w="16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632,3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632,3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587,3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45,3 – планируется освоить до конца текущего года</w:t>
            </w:r>
            <w:r/>
          </w:p>
        </w:tc>
      </w:tr>
    </w:tbl>
    <w:p>
      <w:pPr>
        <w:ind w:right="-284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/>
      <w:bookmarkStart w:id="1" w:name="Par1413"/>
      <w:r/>
      <w:bookmarkEnd w:id="1"/>
      <w:r/>
      <w:r/>
    </w:p>
    <w:p>
      <w:pPr>
        <w:ind w:right="-284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-284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-284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 xml:space="preserve">главы</w:t>
      </w:r>
      <w:r/>
    </w:p>
    <w:p>
      <w:pPr>
        <w:ind w:right="-284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Цимлянского района </w:t>
      </w:r>
      <w:r/>
    </w:p>
    <w:p>
      <w:pPr>
        <w:ind w:right="-284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строительству, ЖКХ и архитектуре                                                                                                                                                                  С.В. Менгель</w:t>
      </w:r>
      <w:r/>
    </w:p>
    <w:p>
      <w:pPr>
        <w:ind w:right="-284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360" w:lineRule="auto"/>
        <w:rPr>
          <w:rFonts w:ascii="Calibri" w:hAnsi="Calibri" w:cs="Times New Roman" w:eastAsia="Calibri"/>
        </w:rPr>
      </w:pPr>
      <w:r>
        <w:rPr>
          <w:rFonts w:ascii="Calibri" w:hAnsi="Calibri" w:cs="Times New Roman" w:eastAsia="Calibri"/>
          <w:szCs w:val="28"/>
        </w:rPr>
      </w:r>
      <w:r>
        <w:rPr>
          <w:rFonts w:ascii="Calibri" w:hAnsi="Calibri" w:cs="Times New Roman" w:eastAsia="Calibri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lang w:eastAsia="ru-RU"/>
        </w:rPr>
        <w:sectPr>
          <w:footnotePr/>
          <w:endnotePr/>
          <w:type w:val="nextPage"/>
          <w:pgSz w:w="16840" w:h="11907" w:orient="landscape"/>
          <w:pgMar w:top="1701" w:right="567" w:bottom="567" w:left="567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b w:val="0"/>
          <w:bCs/>
          <w:sz w:val="28"/>
          <w:szCs w:val="24"/>
          <w:highlight w:val="none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Пояснительная информация</w:t>
      </w:r>
      <w:r>
        <w:rPr>
          <w:b w:val="0"/>
          <w:sz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отчету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об исполнении плана реализации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Цимлянского района «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Энергоэффективность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и развитие энергетики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»</w:t>
      </w:r>
      <w:r>
        <w:rPr>
          <w:sz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на 2022 год по итогам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9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месяцев 20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22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года</w:t>
      </w:r>
      <w:r>
        <w:rPr>
          <w:sz w:val="28"/>
        </w:rPr>
      </w:r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</w:r>
      <w:r>
        <w:rPr>
          <w:sz w:val="28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Муниципальная программа Цимлянского района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Энергоэффективность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и развитие энергетики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(далее – муниципальная программа) утверждена постановлением Администрации Цимлянского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от 13.12.2018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№ 929.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На реализацию муниципальной программы в 2022 году предусмотрено - 632,3 тыс. рублей, сводной бюджетной росписью - 632,3 тыс. рублей. Фактическое освоение средств по итогам 9 месяцев 2022 года составило - 587,3 тыс.рублей или 92,88 процентов от предусмотренного сводной бюджетной росписью объема.</w:t>
      </w:r>
      <w:r>
        <w:rPr>
          <w:rFonts w:ascii="Times New Roman" w:hAnsi="Times New Roman" w:cs="Times New Roman"/>
          <w:color w:val="000000"/>
          <w:sz w:val="28"/>
          <w:szCs w:val="24"/>
          <w:highlight w:val="none"/>
          <w:lang w:eastAsia="ru-RU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Муниципальная программа включает в себя следующие подпрограммы:</w:t>
      </w:r>
      <w:r>
        <w:rPr>
          <w:sz w:val="28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подпрограмма 1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Энергосбережение и повышение энергетической эффективности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» (далее-подпрограмма 1)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;</w:t>
      </w:r>
      <w:r>
        <w:rPr>
          <w:sz w:val="28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подпрограмма 2 </w:t>
      </w:r>
      <w:r>
        <w:rPr>
          <w:rFonts w:ascii="Times New Roman" w:hAnsi="Times New Roman" w:cs="Times New Roman"/>
          <w:sz w:val="28"/>
          <w:szCs w:val="24"/>
        </w:rPr>
        <w:t xml:space="preserve">«</w:t>
      </w:r>
      <w:r>
        <w:rPr>
          <w:rFonts w:ascii="Times New Roman" w:hAnsi="Times New Roman" w:cs="Times New Roman"/>
          <w:sz w:val="28"/>
          <w:szCs w:val="24"/>
        </w:rPr>
        <w:t xml:space="preserve">Развитие и модернизация электрических сетей, включая сети уличного освещения</w:t>
      </w:r>
      <w:r>
        <w:rPr>
          <w:rFonts w:ascii="Times New Roman" w:hAnsi="Times New Roman" w:cs="Times New Roman"/>
          <w:sz w:val="28"/>
          <w:szCs w:val="24"/>
        </w:rPr>
        <w:t xml:space="preserve">»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далее-подпрограмма 2</w:t>
      </w:r>
      <w:r/>
      <w:r>
        <w:rPr>
          <w:rFonts w:ascii="Times New Roman" w:hAnsi="Times New Roman" w:cs="Times New Roman"/>
          <w:sz w:val="28"/>
          <w:szCs w:val="24"/>
        </w:rPr>
        <w:t xml:space="preserve">). </w:t>
      </w:r>
      <w:r>
        <w:rPr>
          <w:sz w:val="28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 реализации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Энергоэффективность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и развитие энергетики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4"/>
        </w:rPr>
        <w:t xml:space="preserve">на 2022 год утвержден распоряжением Администрации Цимлянского района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от 17.01.2022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4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На реализацию мероприятий подпрограммы 1 в 2022 году муниципальной программой предусмотренно - 632,3 тыс. рублей,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сводной бюджетной росписью - 632,3 тыс. рублей.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Фактическое освоение средств по итогам 9 месяцев 2022 года составило - 587,3 тыс.рублей или 92,88 процентов от предусмотренного сводной бюджетной росписью объема.</w:t>
      </w:r>
      <w:r/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</w:r>
      <w:r>
        <w:rPr>
          <w:sz w:val="28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4"/>
          <w:highlight w:val="non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highlight w:val="none"/>
          <w:lang w:eastAsia="ru-RU"/>
        </w:rPr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На реализацию мероприятий подпрограммы 2 в 2022 году муниципальной программой не предусмотренны денежные средства.</w:t>
      </w:r>
      <w:r>
        <w:rPr>
          <w:rFonts w:ascii="Times New Roman" w:hAnsi="Times New Roman" w:cs="Times New Roman"/>
          <w:color w:val="000000"/>
          <w:sz w:val="28"/>
          <w:szCs w:val="24"/>
          <w:highlight w:val="none"/>
          <w:lang w:eastAsia="ru-RU"/>
        </w:rPr>
      </w:r>
      <w:r>
        <w:rPr>
          <w:rFonts w:ascii="Times New Roman" w:hAnsi="Times New Roman" w:cs="Times New Roman"/>
          <w:color w:val="000000"/>
          <w:sz w:val="28"/>
          <w:szCs w:val="24"/>
          <w:highlight w:val="none"/>
          <w:lang w:eastAsia="ru-RU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4"/>
          <w:highlight w:val="non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highlight w:val="none"/>
          <w:lang w:eastAsia="ru-RU"/>
        </w:rPr>
        <w:t xml:space="preserve">В рамках подпрограммы 1 в 2022 году предусмотренно 2 основных мероприятия, из которых: </w:t>
      </w:r>
      <w:r>
        <w:rPr>
          <w:rFonts w:ascii="Times New Roman" w:hAnsi="Times New Roman" w:cs="Times New Roman"/>
          <w:color w:val="000000"/>
          <w:sz w:val="28"/>
          <w:szCs w:val="24"/>
          <w:highlight w:val="none"/>
          <w:lang w:eastAsia="ru-RU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4"/>
          <w:highlight w:val="non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 xml:space="preserve">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 на 2022 год предусмотренна в сумме 632,3 тыс.рублей.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Фактическое освоение средств составило - 587,3 тыс.рублей или 92,88 %. Оставшиеся средства в размере 45,0 тыс. рублей будут реализованны до конца текущего года.</w:t>
      </w:r>
      <w:r>
        <w:rPr>
          <w:rFonts w:ascii="Times New Roman" w:hAnsi="Times New Roman" w:cs="Times New Roman"/>
          <w:sz w:val="28"/>
          <w:szCs w:val="24"/>
        </w:rPr>
      </w:r>
      <w:r>
        <w:rPr>
          <w:sz w:val="28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  <w:highlight w:val="none"/>
          <w:lang w:eastAsia="ru-RU"/>
        </w:rPr>
        <w:t xml:space="preserve">- приобретение энергосберегающего оборудования и материалов для бюджетных учреждений, не предусмотренны денежные средства.</w:t>
      </w:r>
      <w:r>
        <w:rPr>
          <w:rFonts w:ascii="Times New Roman" w:hAnsi="Times New Roman" w:cs="Times New Roman"/>
          <w:color w:val="000000"/>
          <w:sz w:val="28"/>
          <w:szCs w:val="24"/>
          <w:highlight w:val="none"/>
          <w:lang w:eastAsia="ru-RU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4"/>
          <w:highlight w:val="non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highlight w:val="none"/>
          <w:lang w:eastAsia="ru-RU"/>
        </w:rPr>
      </w:r>
      <w:r>
        <w:rPr>
          <w:rFonts w:ascii="Times New Roman" w:hAnsi="Times New Roman" w:cs="Times New Roman"/>
          <w:color w:val="000000"/>
          <w:sz w:val="28"/>
          <w:szCs w:val="24"/>
          <w:highlight w:val="none"/>
          <w:lang w:eastAsia="ru-RU"/>
        </w:rPr>
        <w:t xml:space="preserve">В рамках подпрограммы 2 в 2022 году предусмотренно 2 основных мероприятия.</w:t>
      </w:r>
      <w:r>
        <w:rPr>
          <w:rFonts w:ascii="Times New Roman" w:hAnsi="Times New Roman" w:cs="Times New Roman"/>
          <w:color w:val="000000"/>
          <w:sz w:val="28"/>
          <w:szCs w:val="24"/>
          <w:highlight w:val="none"/>
          <w:lang w:eastAsia="ru-RU"/>
        </w:rPr>
      </w:r>
      <w:r>
        <w:rPr>
          <w:rFonts w:ascii="Times New Roman" w:hAnsi="Times New Roman" w:cs="Times New Roman"/>
          <w:color w:val="000000"/>
          <w:sz w:val="28"/>
          <w:szCs w:val="24"/>
          <w:highlight w:val="none"/>
          <w:lang w:eastAsia="ru-RU"/>
        </w:rPr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</w:r>
      <w:r>
        <w:rPr>
          <w:sz w:val="28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highlight w:val="none"/>
          <w:lang w:eastAsia="ru-RU"/>
        </w:rPr>
        <w:t xml:space="preserve">В ходе анализа исполнения плана реализации муниципальной программы несоблюдение сроков исполнения основного мероприятия, не установленно.</w:t>
      </w:r>
      <w:r>
        <w:rPr>
          <w:rFonts w:ascii="Times New Roman" w:hAnsi="Times New Roman" w:cs="Times New Roman"/>
          <w:color w:val="000000"/>
          <w:sz w:val="28"/>
          <w:szCs w:val="24"/>
          <w:highlight w:val="none"/>
          <w:lang w:eastAsia="ru-RU"/>
        </w:rPr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</w:r>
      <w:r>
        <w:rPr>
          <w:sz w:val="28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</w:r>
      <w:r>
        <w:rPr>
          <w:sz w:val="28"/>
        </w:rPr>
      </w:r>
    </w:p>
    <w:p>
      <w:pPr>
        <w:ind w:right="-284"/>
        <w:jc w:val="left"/>
        <w:spacing w:after="0" w:line="240" w:lineRule="auto"/>
        <w:widowControl w:val="off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</w:t>
      </w:r>
      <w:r>
        <w:rPr>
          <w:rFonts w:ascii="Times New Roman" w:hAnsi="Times New Roman" w:cs="Times New Roman"/>
          <w:sz w:val="28"/>
          <w:szCs w:val="24"/>
        </w:rPr>
        <w:t xml:space="preserve">аместитель </w:t>
      </w:r>
      <w:r>
        <w:rPr>
          <w:rFonts w:ascii="Times New Roman" w:hAnsi="Times New Roman" w:cs="Times New Roman"/>
          <w:sz w:val="28"/>
          <w:szCs w:val="24"/>
        </w:rPr>
        <w:t xml:space="preserve">главы </w:t>
      </w:r>
      <w:r>
        <w:rPr>
          <w:sz w:val="28"/>
        </w:rPr>
      </w:r>
    </w:p>
    <w:p>
      <w:pPr>
        <w:ind w:right="-284"/>
        <w:jc w:val="left"/>
        <w:spacing w:after="0" w:line="240" w:lineRule="auto"/>
        <w:widowControl w:val="off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Администрации Цимлянского района </w:t>
      </w:r>
      <w:r>
        <w:rPr>
          <w:sz w:val="28"/>
        </w:rPr>
      </w:r>
    </w:p>
    <w:p>
      <w:pPr>
        <w:ind w:right="-284"/>
        <w:jc w:val="left"/>
        <w:spacing w:after="0" w:line="240" w:lineRule="auto"/>
        <w:widowControl w:val="off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строительству, ЖКХ и архитектуре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С.В. Менгель</w:t>
      </w:r>
      <w:r>
        <w:rPr>
          <w:rFonts w:ascii="Times New Roman" w:hAnsi="Times New Roman" w:cs="Times New Roman"/>
          <w:sz w:val="28"/>
          <w:szCs w:val="24"/>
        </w:rPr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709" w:bottom="90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text1" w:themeFillTint="40"/>
    </w:tblPr>
    <w:tblStylePr w:type="band1Horz">
      <w:tcPr>
        <w:shd w:val="clear" w:color="ffffff" w:fill="ffffff" w:themeFill="text1" w:themeFillTint="75"/>
      </w:tcPr>
    </w:tblStylePr>
    <w:tblStylePr w:type="band1Vert">
      <w:tcPr>
        <w:shd w:val="clear" w:color="ffffff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1" w:themeFillTint="34"/>
    </w:tblPr>
    <w:tblStylePr w:type="band1Horz">
      <w:tcPr>
        <w:shd w:val="clear" w:color="ffffff" w:fill="ffffff" w:themeFill="accent1" w:themeFillTint="75"/>
      </w:tcPr>
    </w:tblStylePr>
    <w:tblStylePr w:type="band1Vert">
      <w:tcPr>
        <w:shd w:val="clear" w:color="ffffff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2" w:themeFillTint="32"/>
    </w:tblPr>
    <w:tblStylePr w:type="band1Horz">
      <w:tcPr>
        <w:shd w:val="clear" w:color="ffffff" w:fill="ffffff" w:themeFill="accent2" w:themeFillTint="75"/>
      </w:tcPr>
    </w:tblStylePr>
    <w:tblStylePr w:type="band1Vert">
      <w:tcPr>
        <w:shd w:val="clear" w:color="ffffff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3" w:themeFillTint="34"/>
    </w:tblPr>
    <w:tblStylePr w:type="band1Horz">
      <w:tcPr>
        <w:shd w:val="clear" w:color="ffffff" w:fill="ffffff" w:themeFill="accent3" w:themeFillTint="75"/>
      </w:tcPr>
    </w:tblStylePr>
    <w:tblStylePr w:type="band1Vert">
      <w:tcPr>
        <w:shd w:val="clear" w:color="ffffff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4" w:themeFillTint="34"/>
    </w:tblPr>
    <w:tblStylePr w:type="band1Horz">
      <w:tcPr>
        <w:shd w:val="clear" w:color="ffffff" w:fill="ffffff" w:themeFill="accent4" w:themeFillTint="75"/>
      </w:tcPr>
    </w:tblStylePr>
    <w:tblStylePr w:type="band1Vert">
      <w:tcPr>
        <w:shd w:val="clear" w:color="ffffff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5" w:themeFillTint="34"/>
    </w:tblPr>
    <w:tblStylePr w:type="band1Horz">
      <w:tcPr>
        <w:shd w:val="clear" w:color="ffffff" w:fill="ffffff" w:themeFill="accent5" w:themeFillTint="75"/>
      </w:tcPr>
    </w:tblStylePr>
    <w:tblStylePr w:type="band1Vert">
      <w:tcPr>
        <w:shd w:val="clear" w:color="ffffff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6" w:themeFillTint="34"/>
    </w:tblPr>
    <w:tblStylePr w:type="band1Horz">
      <w:tcPr>
        <w:shd w:val="clear" w:color="ffffff" w:fill="ffffff" w:themeFill="accent6" w:themeFillTint="75"/>
      </w:tcPr>
    </w:tblStylePr>
    <w:tblStylePr w:type="band1Vert">
      <w:tcPr>
        <w:shd w:val="clear" w:color="ffffff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 w:themeFill="text1" w:themeFillTint="34"/>
      </w:tcPr>
    </w:tblStylePr>
    <w:tblStylePr w:type="band1Vert">
      <w:tcPr>
        <w:shd w:val="clear" w:color="ffffff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 w:themeFill="text1" w:themeFillTint="80"/>
    </w:tblPr>
    <w:tblStylePr w:type="band1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 w:themeFill="accent1"/>
    </w:tblPr>
    <w:tblStylePr w:type="band1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 w:themeFill="accent2" w:themeFillTint="97"/>
    </w:tblPr>
    <w:tblStylePr w:type="band1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 w:themeFill="accent3" w:themeFillTint="98"/>
    </w:tblPr>
    <w:tblStylePr w:type="band1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 w:themeFill="accent4" w:themeFillTint="9A"/>
    </w:tblPr>
    <w:tblStylePr w:type="band1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 w:themeFill="accent5" w:themeFillTint="9A"/>
    </w:tblPr>
    <w:tblStylePr w:type="band1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 w:themeFill="accent6" w:themeFillTint="98"/>
    </w:tblPr>
    <w:tblStylePr w:type="band1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pPr>
      <w:spacing w:after="200" w:line="276" w:lineRule="auto"/>
    </w:pPr>
    <w:rPr>
      <w:rFonts w:cs="Calibri"/>
      <w:lang w:eastAsia="en-US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11</cp:revision>
  <dcterms:created xsi:type="dcterms:W3CDTF">2020-07-09T08:11:00Z</dcterms:created>
  <dcterms:modified xsi:type="dcterms:W3CDTF">2022-11-03T13:06:08Z</dcterms:modified>
</cp:coreProperties>
</file>