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/>
        <w:t>ОТЧЕТ</w:t>
      </w:r>
    </w:p>
    <w:p>
      <w:pPr>
        <w:pStyle w:val="Normal"/>
        <w:widowControl w:val="false"/>
        <w:jc w:val="center"/>
        <w:rPr/>
      </w:pPr>
      <w:r>
        <w:rPr/>
        <w:t xml:space="preserve">об исполнении плана реализации </w:t>
      </w:r>
      <w:r>
        <w:rPr>
          <w:rFonts w:cs="Courier New"/>
        </w:rPr>
        <w:t>муниципальной</w:t>
      </w:r>
      <w:r>
        <w:rPr/>
        <w:t xml:space="preserve"> программы «Территориальное планирование и обеспечение доступным и комфортным жильем населения Цимлянского района» за отчетный период 6 мес. 2022 г.</w:t>
      </w:r>
    </w:p>
    <w:p>
      <w:pPr>
        <w:pStyle w:val="Normal"/>
        <w:widowControl w:val="false"/>
        <w:jc w:val="center"/>
        <w:rPr/>
      </w:pPr>
      <w:r>
        <w:rPr/>
      </w:r>
    </w:p>
    <w:tbl>
      <w:tblPr>
        <w:tblW w:w="15876" w:type="dxa"/>
        <w:jc w:val="left"/>
        <w:tblInd w:w="-35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0"/>
        <w:gridCol w:w="2980"/>
        <w:gridCol w:w="2007"/>
        <w:gridCol w:w="1822"/>
        <w:gridCol w:w="1156"/>
        <w:gridCol w:w="1601"/>
        <w:gridCol w:w="1366"/>
        <w:gridCol w:w="1632"/>
        <w:gridCol w:w="1355"/>
        <w:gridCol w:w="1535"/>
      </w:tblGrid>
      <w:tr>
        <w:trPr>
          <w:trHeight w:val="573" w:hRule="atLeas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Номер и наименование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 xml:space="preserve">Ответственный </w:t>
              <w:br/>
              <w:t xml:space="preserve"> исполнитель, соисполнитель, участник</w:t>
              <w:br/>
              <w:t>(должность/ ФИО)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Результат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реализации (краткое описание)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-74" w:right="-75" w:hanging="0"/>
              <w:jc w:val="center"/>
              <w:rPr/>
            </w:pPr>
            <w:r>
              <w:rPr/>
              <w:t>Факти-ческая дата начала</w:t>
              <w:br/>
              <w:t>реализа-ции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Фактическая дата окончания</w:t>
              <w:br/>
              <w:t>реализации,</w:t>
              <w:br/>
              <w:t>наступления</w:t>
              <w:br/>
              <w:t>контрольного</w:t>
              <w:br/>
              <w:t>события</w:t>
            </w:r>
          </w:p>
        </w:tc>
        <w:tc>
          <w:tcPr>
            <w:tcW w:w="4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Расходы местного бюджета на реализацию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программы, тыс. рублей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Объемы неосвоенных средств и причины их неосвоения</w:t>
            </w:r>
          </w:p>
        </w:tc>
      </w:tr>
      <w:tr>
        <w:trPr>
          <w:trHeight w:val="720" w:hRule="atLeast"/>
        </w:trPr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2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5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предусмот-рено</w:t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>
                <w:rFonts w:cs="Calibri"/>
              </w:rPr>
              <w:t>муници-пальной</w:t>
            </w:r>
            <w:r>
              <w:rPr/>
              <w:t xml:space="preserve"> программой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предусмотрено сводной бюджетной росписью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6" w:hanging="0"/>
              <w:jc w:val="center"/>
              <w:rPr/>
            </w:pPr>
            <w:r>
              <w:rPr/>
              <w:t>факт на отчетную дату</w:t>
            </w:r>
          </w:p>
        </w:tc>
        <w:tc>
          <w:tcPr>
            <w:tcW w:w="1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widowControl w:val="false"/>
        <w:jc w:val="center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877" w:type="dxa"/>
        <w:jc w:val="left"/>
        <w:tblInd w:w="-35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01"/>
        <w:gridCol w:w="2999"/>
        <w:gridCol w:w="1988"/>
        <w:gridCol w:w="1842"/>
        <w:gridCol w:w="1275"/>
        <w:gridCol w:w="1419"/>
        <w:gridCol w:w="1416"/>
        <w:gridCol w:w="1707"/>
        <w:gridCol w:w="1358"/>
        <w:gridCol w:w="1470"/>
      </w:tblGrid>
      <w:tr>
        <w:trPr>
          <w:tblHeader w:val="true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031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1.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1.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822,0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запланиро-вано освоить в III квартале 2022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3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2.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1.1.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</w:rPr>
              <w:t>Вовлечение в оборот земельных участков обеспечит реализацию планов освоения территорий, в том числе для жилищного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3.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1.2.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«Выполнение проектов внесения изменений в генеральный план, правила землепользования и застройки Цимлянского района Ростовской области в части подготовки сведений по координатному описанию границ населенных пунктов и  сведений о границах территориальных зон в соответствии с Градостроительным кодексом РФ».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</w:rPr>
              <w:t>Разработка карт (планов) объектов землеустройства в отношении границ муниципальных образований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822,0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запланиро-вано освоить в III квартале 2022</w:t>
            </w:r>
          </w:p>
        </w:tc>
      </w:tr>
      <w:tr>
        <w:trPr>
          <w:trHeight w:val="2032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4.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2.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kern w:val="2"/>
              </w:rPr>
              <w:t>«</w:t>
            </w:r>
            <w:r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14 612,4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14 612,4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13 984,7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627,7 —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экономия средств</w:t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5.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2.1.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lang w:eastAsia="en-US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51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6.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2.2.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lang w:eastAsia="en-US"/>
              </w:rPr>
              <w:t>Обеспечение жильем молодых семей в Цимлянском районе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</w:rPr>
              <w:t>Улучшение жилищных условий молодых семей – участников основного мероприятия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1 188,7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1 188,7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1 188,5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0,2 —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остаток средств</w:t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 w:val="false"/>
                <w:dstrike w:val="false"/>
              </w:rPr>
            </w:pPr>
            <w:r>
              <w:rPr>
                <w:strike w:val="false"/>
                <w:dstrike w:val="false"/>
              </w:rPr>
              <w:t>7.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2.3.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Менгель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  <w:lang w:eastAsia="en-US"/>
              </w:rPr>
              <w:t>Решение жилищной проблемы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13 423,7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13 423,7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12 796,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627,5 -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экономия средств </w:t>
            </w:r>
          </w:p>
        </w:tc>
      </w:tr>
      <w:tr>
        <w:trPr>
          <w:trHeight w:val="1932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Итого по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программе</w:t>
            </w:r>
          </w:p>
          <w:p>
            <w:pPr>
              <w:pStyle w:val="Normal"/>
              <w:widowControl w:val="false"/>
              <w:rPr/>
            </w:pPr>
            <w:r>
              <w:rPr/>
              <w:t>«</w:t>
            </w:r>
            <w:r>
              <w:rPr>
                <w:kern w:val="2"/>
              </w:rPr>
              <w:t>Территориальное планирование и обеспечение доступным и комфортным жильем населения Цимлянского района</w:t>
            </w:r>
            <w:r>
              <w:rPr/>
              <w:t>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15 434,4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15 434,4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13 984,7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1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449,7</w:t>
            </w:r>
          </w:p>
        </w:tc>
      </w:tr>
    </w:tbl>
    <w:p>
      <w:pPr>
        <w:pStyle w:val="Normal"/>
        <w:widowControl w:val="false"/>
        <w:ind w:right="-284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bookmarkStart w:id="0" w:name="Par1413"/>
      <w:bookmarkStart w:id="1" w:name="Par1413"/>
      <w:bookmarkEnd w:id="1"/>
    </w:p>
    <w:p>
      <w:pPr>
        <w:pStyle w:val="Normal"/>
        <w:widowControl w:val="false"/>
        <w:ind w:right="-284" w:hanging="0"/>
        <w:jc w:val="both"/>
        <w:rPr/>
      </w:pPr>
      <w:r>
        <w:rPr/>
      </w:r>
    </w:p>
    <w:p>
      <w:pPr>
        <w:pStyle w:val="Normal"/>
        <w:widowControl w:val="false"/>
        <w:ind w:right="-284" w:hanging="0"/>
        <w:jc w:val="both"/>
        <w:rPr>
          <w:color w:val="1F3864"/>
        </w:rPr>
      </w:pPr>
      <w:r>
        <w:rPr>
          <w:color w:val="1F3864"/>
        </w:rPr>
      </w:r>
    </w:p>
    <w:p>
      <w:pPr>
        <w:pStyle w:val="Normal"/>
        <w:jc w:val="both"/>
        <w:rPr/>
      </w:pPr>
      <w:r>
        <w:rPr/>
        <w:t>Заместитель главы Администрации Цимлянского района</w:t>
      </w:r>
    </w:p>
    <w:p>
      <w:pPr>
        <w:sectPr>
          <w:type w:val="nextPage"/>
          <w:pgSz w:orient="landscape" w:w="16838" w:h="11906"/>
          <w:pgMar w:left="1134" w:right="1134" w:header="0" w:top="284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i/>
          <w:i/>
          <w:iCs/>
        </w:rPr>
      </w:pPr>
      <w:r>
        <w:rPr/>
        <w:t xml:space="preserve">по строительству, ЖКХ и архитектуре                                                                                                                                     </w:t>
        <w:tab/>
        <w:tab/>
        <w:t>Менгель С.В.</w:t>
      </w:r>
    </w:p>
    <w:p>
      <w:pPr>
        <w:pStyle w:val="Normal"/>
        <w:shd w:val="clear" w:color="auto" w:fill="FFFFFF"/>
        <w:ind w:left="6" w:firstLine="703"/>
        <w:jc w:val="center"/>
        <w:rPr>
          <w:rFonts w:ascii="Times New Roman" w:hAnsi="Times New Roman"/>
        </w:rPr>
      </w:pPr>
      <w:r>
        <w:rPr>
          <w:sz w:val="28"/>
          <w:szCs w:val="28"/>
        </w:rPr>
        <w:t>Пояснительная информация к отчету об исполнении плана реализации</w:t>
      </w:r>
    </w:p>
    <w:p>
      <w:pPr>
        <w:pStyle w:val="Normal"/>
        <w:shd w:val="clear" w:color="auto" w:fill="FFFFFF"/>
        <w:ind w:left="6" w:firstLine="703"/>
        <w:jc w:val="center"/>
        <w:rPr>
          <w:rFonts w:ascii="Times New Roman" w:hAnsi="Times New Roman"/>
        </w:rPr>
      </w:pPr>
      <w:r>
        <w:rPr>
          <w:sz w:val="28"/>
          <w:szCs w:val="28"/>
        </w:rPr>
        <w:t xml:space="preserve">муниципальной программы Цимлянского района «Территориальное </w:t>
      </w:r>
    </w:p>
    <w:p>
      <w:pPr>
        <w:pStyle w:val="Normal"/>
        <w:shd w:val="clear" w:color="auto" w:fill="FFFFFF"/>
        <w:ind w:left="6" w:firstLine="703"/>
        <w:jc w:val="center"/>
        <w:rPr>
          <w:rFonts w:ascii="Times New Roman" w:hAnsi="Times New Roman"/>
        </w:rPr>
      </w:pPr>
      <w:r>
        <w:rPr>
          <w:sz w:val="28"/>
          <w:szCs w:val="28"/>
        </w:rPr>
        <w:t xml:space="preserve">планирование и обеспечение доступным и комфортным жильем </w:t>
      </w:r>
    </w:p>
    <w:p>
      <w:pPr>
        <w:pStyle w:val="Normal"/>
        <w:shd w:val="clear" w:color="auto" w:fill="FFFFFF"/>
        <w:ind w:left="6" w:firstLine="703"/>
        <w:jc w:val="center"/>
        <w:rPr>
          <w:rFonts w:ascii="Times New Roman" w:hAnsi="Times New Roman"/>
        </w:rPr>
      </w:pPr>
      <w:r>
        <w:rPr>
          <w:sz w:val="28"/>
          <w:szCs w:val="28"/>
        </w:rPr>
        <w:t>населения Цимлянского района» по итогам 1 полугодия 2022 года</w:t>
      </w:r>
    </w:p>
    <w:p>
      <w:pPr>
        <w:pStyle w:val="Normal"/>
        <w:shd w:val="clear" w:color="auto" w:fill="FFFFFF"/>
        <w:ind w:left="6" w:firstLine="84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На 2022 год общим объемом финансирования для реализации мероприятий муниципальной программы «Территориальное планирование и обеспечение доступным и комфортным жильем населения Цимлянского района», утвержденной </w:t>
      </w:r>
      <w:r>
        <w:rPr>
          <w:kern w:val="2"/>
          <w:sz w:val="28"/>
          <w:szCs w:val="28"/>
        </w:rPr>
        <w:t>постановлением Администрации Цимлянского района от 19.12.2018 № 955</w:t>
      </w:r>
      <w:r>
        <w:rPr>
          <w:sz w:val="28"/>
          <w:szCs w:val="28"/>
        </w:rPr>
        <w:t xml:space="preserve"> «Об утверждении муниципальной программы Цимлянского района «</w:t>
      </w:r>
      <w:r>
        <w:rPr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sz w:val="28"/>
          <w:szCs w:val="28"/>
        </w:rPr>
        <w:t xml:space="preserve">», предусмотрено </w:t>
      </w:r>
      <w:r>
        <w:rPr>
          <w:rFonts w:eastAsia="Times New Roman" w:cs="Times New Roman"/>
          <w:sz w:val="28"/>
          <w:szCs w:val="28"/>
          <w:lang w:eastAsia="ru-RU"/>
        </w:rPr>
        <w:t>15 434,4</w:t>
      </w:r>
      <w:r>
        <w:rPr>
          <w:sz w:val="28"/>
          <w:szCs w:val="28"/>
        </w:rPr>
        <w:t xml:space="preserve"> тыс. рублей, из них средства:</w:t>
      </w:r>
    </w:p>
    <w:p>
      <w:pPr>
        <w:pStyle w:val="ConsPlusNormal"/>
        <w:ind w:hanging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ConsPlusTitle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областного бюджета – </w:t>
      </w:r>
      <w:r>
        <w:rPr>
          <w:rFonts w:eastAsia="Arial" w:cs="Times New Roman" w:ascii="Times New Roman" w:hAnsi="Times New Roman"/>
          <w:b w:val="false"/>
          <w:bCs/>
          <w:sz w:val="28"/>
          <w:szCs w:val="28"/>
          <w:lang w:eastAsia="ru-RU"/>
        </w:rPr>
        <w:t>14 233,8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тыс. руб.;</w:t>
      </w:r>
    </w:p>
    <w:p>
      <w:pPr>
        <w:pStyle w:val="ConsPlusNormal"/>
        <w:widowControl w:val="false"/>
        <w:suppressAutoHyphens w:val="true"/>
        <w:bidi w:val="0"/>
        <w:spacing w:lineRule="auto" w:line="276" w:before="0" w:after="0"/>
        <w:ind w:left="0" w:right="0" w:firstLine="85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федерального бюджета – </w:t>
      </w:r>
      <w:r>
        <w:rPr>
          <w:rFonts w:eastAsia="Arial" w:ascii="Times New Roman" w:hAnsi="Times New Roman"/>
          <w:kern w:val="2"/>
          <w:sz w:val="28"/>
          <w:szCs w:val="28"/>
        </w:rPr>
        <w:t>321,5</w:t>
      </w:r>
      <w:r>
        <w:rPr>
          <w:rFonts w:ascii="Times New Roman" w:hAnsi="Times New Roman"/>
          <w:sz w:val="28"/>
          <w:szCs w:val="28"/>
        </w:rPr>
        <w:t>тыс. руб.;</w:t>
      </w:r>
    </w:p>
    <w:p>
      <w:pPr>
        <w:pStyle w:val="ConsPlusNormal"/>
        <w:widowControl w:val="false"/>
        <w:suppressAutoHyphens w:val="true"/>
        <w:bidi w:val="0"/>
        <w:spacing w:lineRule="auto" w:line="276" w:before="0" w:after="0"/>
        <w:ind w:left="0" w:right="0" w:firstLine="85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местного бюджета – </w:t>
      </w:r>
      <w:r>
        <w:rPr>
          <w:rFonts w:eastAsia="Arial" w:ascii="Times New Roman" w:hAnsi="Times New Roman"/>
          <w:kern w:val="2"/>
          <w:sz w:val="28"/>
          <w:szCs w:val="28"/>
        </w:rPr>
        <w:t>879,1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rPr>
          <w:rFonts w:ascii="Times New Roman" w:hAnsi="Times New Roman"/>
        </w:rPr>
      </w:pPr>
      <w:r>
        <w:rPr>
          <w:sz w:val="28"/>
          <w:szCs w:val="28"/>
        </w:rPr>
        <w:t xml:space="preserve">Фактически освоено </w:t>
      </w:r>
      <w:r>
        <w:rPr>
          <w:rFonts w:eastAsia="Times New Roman" w:cs="Times New Roman"/>
          <w:sz w:val="28"/>
          <w:szCs w:val="28"/>
          <w:lang w:eastAsia="ru-RU"/>
        </w:rPr>
        <w:t>13 984,7</w:t>
      </w:r>
      <w:r>
        <w:rPr>
          <w:sz w:val="28"/>
          <w:szCs w:val="28"/>
        </w:rPr>
        <w:t xml:space="preserve"> тыс. рублей, процент освоения — 90,6 %.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rPr>
          <w:rFonts w:ascii="Times New Roman" w:hAnsi="Times New Roman"/>
        </w:rPr>
      </w:pPr>
      <w:r>
        <w:rPr>
          <w:sz w:val="28"/>
          <w:szCs w:val="28"/>
        </w:rPr>
        <w:t>Основные мероприятия: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sz w:val="28"/>
          <w:szCs w:val="28"/>
        </w:rPr>
        <w:t>Подпрограмма 1: «Территориальное планирование и развитие территорий, в том числе для жилищного строительства».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sz w:val="28"/>
          <w:szCs w:val="28"/>
        </w:rPr>
        <w:t>- Основное мероприятие 1.1 «Создание условий для развития территорий путем вовлечения в оборот земельных участков, в том числе в целях жилищного строительства» В 2022 году средства в бюджете по данному мероприятию не предусмотрены.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sz w:val="28"/>
          <w:szCs w:val="28"/>
        </w:rPr>
        <w:t>- Основное мероприятие 1.2 «Выполнение проектов внесения изменений в генеральный план, правила землепользования и застройки Цимлянского района Ростовской области в части подготовки сведений по координатному описанию границ населенных пунктов и  сведений о границах территориальных зон в соответствии с Градостроительным кодексом РФ».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В 2022 году запланированы средства местного бюджета в размере </w:t>
      </w:r>
      <w:r>
        <w:rPr>
          <w:rFonts w:eastAsia="Times New Roman" w:cs="Times New Roman"/>
          <w:sz w:val="28"/>
          <w:szCs w:val="28"/>
          <w:lang w:eastAsia="ru-RU"/>
        </w:rPr>
        <w:t>822</w:t>
      </w:r>
      <w:r>
        <w:rPr>
          <w:sz w:val="28"/>
          <w:szCs w:val="28"/>
        </w:rPr>
        <w:t>,0 тыс. рублей.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233" w:leader="none"/>
        </w:tabs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Подпрограмма 2: «Оказание мер государственной поддержки в улучшении жилищных условий отдельным категориям граждан».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794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Основное мероприятие 2.1. «Переселение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sz w:val="28"/>
          <w:szCs w:val="28"/>
        </w:rPr>
        <w:t>В 2022 году средства в бюджете по данному мероприятию не предусмотрены.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- Основное мероприятие 2.2. «Обеспечение жильем молодых семей Цимлянского района».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kern w:val="2"/>
          <w:sz w:val="28"/>
          <w:szCs w:val="28"/>
        </w:rPr>
        <w:t xml:space="preserve">В 2022 году на обеспечение жильем молодых семей запланировано – 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 xml:space="preserve">1 188,7 </w:t>
      </w:r>
      <w:r>
        <w:rPr>
          <w:kern w:val="2"/>
          <w:sz w:val="28"/>
          <w:szCs w:val="28"/>
        </w:rPr>
        <w:t>тыс. рублей</w:t>
      </w:r>
      <w:r>
        <w:rPr>
          <w:kern w:val="2"/>
          <w:sz w:val="28"/>
          <w:szCs w:val="28"/>
          <w:shd w:fill="auto" w:val="clear"/>
        </w:rPr>
        <w:t xml:space="preserve">, </w:t>
      </w:r>
      <w:r>
        <w:rPr>
          <w:sz w:val="28"/>
          <w:szCs w:val="28"/>
          <w:shd w:fill="auto" w:val="clear"/>
        </w:rPr>
        <w:t xml:space="preserve">в том числе средства федерального бюджета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321,5 тыс.руб.,</w:t>
      </w:r>
      <w:r>
        <w:rPr>
          <w:sz w:val="28"/>
          <w:szCs w:val="28"/>
          <w:shd w:fill="auto" w:val="clear"/>
        </w:rPr>
        <w:t xml:space="preserve"> областного бюджета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 xml:space="preserve">810,1 </w:t>
      </w:r>
      <w:r>
        <w:rPr>
          <w:sz w:val="28"/>
          <w:szCs w:val="28"/>
          <w:shd w:fill="auto" w:val="clear"/>
        </w:rPr>
        <w:t xml:space="preserve">тыс. руб., местного бюджета – </w:t>
      </w:r>
      <w:r>
        <w:rPr>
          <w:rFonts w:eastAsia="Times New Roman" w:cs="Times New Roman"/>
          <w:sz w:val="28"/>
          <w:szCs w:val="28"/>
          <w:shd w:fill="auto" w:val="clear"/>
          <w:lang w:eastAsia="ru-RU"/>
        </w:rPr>
        <w:t>57,1</w:t>
      </w:r>
      <w:r>
        <w:rPr>
          <w:sz w:val="28"/>
          <w:szCs w:val="28"/>
          <w:shd w:fill="auto" w:val="clear"/>
        </w:rPr>
        <w:t xml:space="preserve"> тыс. руб.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/>
          <w:shd w:fill="auto" w:val="clear"/>
        </w:rPr>
      </w:pPr>
      <w:r>
        <w:rPr>
          <w:sz w:val="28"/>
          <w:szCs w:val="28"/>
          <w:shd w:fill="auto" w:val="clear"/>
        </w:rPr>
        <w:t xml:space="preserve">В 2022 году по основному мероприятию 2.2 освоено 1 188,5 тыс. руб., 1 семья приобрела жилье.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- Основное мероприятие 2.3.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</w:r>
    </w:p>
    <w:p>
      <w:pPr>
        <w:pStyle w:val="Normal"/>
        <w:ind w:firstLine="561"/>
        <w:jc w:val="both"/>
        <w:rPr>
          <w:rFonts w:ascii="Times New Roman" w:hAnsi="Times New Roman"/>
        </w:rPr>
      </w:pPr>
      <w:r>
        <w:rPr>
          <w:kern w:val="2"/>
          <w:sz w:val="28"/>
          <w:szCs w:val="28"/>
        </w:rPr>
        <w:t>Для обеспечения жилыми помещениями детей - сирот и детей, оставшихся без попечения родителей, лицам из их числа по договорам найма специализированных жилых помещений в 2022 году было запланировано</w:t>
      </w:r>
      <w:r>
        <w:rPr>
          <w:sz w:val="28"/>
          <w:szCs w:val="28"/>
        </w:rPr>
        <w:t xml:space="preserve"> –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13 423,7 </w:t>
      </w:r>
      <w:r>
        <w:rPr>
          <w:sz w:val="28"/>
          <w:szCs w:val="28"/>
        </w:rPr>
        <w:t xml:space="preserve">тыс. рублей, в том числе средства областного бюджета – </w:t>
      </w:r>
      <w:r>
        <w:rPr>
          <w:rFonts w:eastAsia="Times New Roman" w:cs="Times New Roman"/>
          <w:sz w:val="28"/>
          <w:szCs w:val="28"/>
          <w:lang w:eastAsia="ru-RU"/>
        </w:rPr>
        <w:t xml:space="preserve">13 423,7 </w:t>
      </w:r>
      <w:r>
        <w:rPr>
          <w:sz w:val="28"/>
          <w:szCs w:val="28"/>
        </w:rPr>
        <w:t>тыс. рублей.</w:t>
      </w:r>
    </w:p>
    <w:p>
      <w:pPr>
        <w:pStyle w:val="Normal"/>
        <w:shd w:val="clear" w:color="auto" w:fill="FFFFFF"/>
        <w:ind w:left="14" w:right="10" w:firstLine="475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В 2022 году по основному мероприятию 2.3 освоено </w:t>
      </w:r>
      <w:r>
        <w:rPr>
          <w:rFonts w:eastAsia="Times New Roman" w:cs="Times New Roman"/>
          <w:sz w:val="28"/>
          <w:szCs w:val="28"/>
          <w:lang w:eastAsia="ru-RU"/>
        </w:rPr>
        <w:t>12 796,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тыс. рублей, приобретено 8 квартир для детей – сирот.</w:t>
      </w:r>
    </w:p>
    <w:p>
      <w:pPr>
        <w:pStyle w:val="Normal"/>
        <w:shd w:val="clear" w:color="auto" w:fill="FFFFFF"/>
        <w:ind w:left="14" w:right="10" w:firstLine="47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14" w:right="10" w:firstLine="47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14" w:right="10" w:firstLine="47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Заместитель главы Администрации </w:t>
      </w:r>
    </w:p>
    <w:p>
      <w:pPr>
        <w:pStyle w:val="Normal"/>
        <w:rPr>
          <w:rFonts w:ascii="Times New Roman" w:hAnsi="Times New Roman"/>
        </w:rPr>
      </w:pPr>
      <w:r>
        <w:rPr>
          <w:sz w:val="28"/>
          <w:szCs w:val="28"/>
        </w:rPr>
        <w:t>Цимлянского района по строительству,</w:t>
      </w:r>
    </w:p>
    <w:p>
      <w:pPr>
        <w:pStyle w:val="Normal"/>
        <w:rPr>
          <w:rFonts w:ascii="Times New Roman" w:hAnsi="Times New Roman"/>
        </w:rPr>
      </w:pPr>
      <w:r>
        <w:rPr>
          <w:sz w:val="28"/>
          <w:szCs w:val="28"/>
        </w:rPr>
        <w:t>ЖКХ и архитектуре</w:t>
        <w:tab/>
        <w:t xml:space="preserve">                                                                           С.В Менгель </w:t>
      </w:r>
    </w:p>
    <w:p>
      <w:pPr>
        <w:pStyle w:val="Normal"/>
        <w:shd w:val="clear" w:color="auto" w:fill="FFFFFF"/>
        <w:ind w:left="14" w:right="10" w:firstLine="475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62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bb33a9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rsid w:val="00bb33a9"/>
    <w:pPr>
      <w:keepNext w:val="true"/>
      <w:spacing w:before="240" w:after="120"/>
    </w:pPr>
    <w:rPr>
      <w:rFonts w:eastAsia="Noto Sans CJK SC" w:cs="Lohit Devanagari"/>
      <w:sz w:val="32"/>
      <w:szCs w:val="28"/>
    </w:rPr>
  </w:style>
  <w:style w:type="paragraph" w:styleId="Style16">
    <w:name w:val="Body Text"/>
    <w:basedOn w:val="Normal"/>
    <w:rsid w:val="00bb33a9"/>
    <w:pPr>
      <w:spacing w:lineRule="auto" w:line="276" w:before="0" w:after="140"/>
    </w:pPr>
    <w:rPr/>
  </w:style>
  <w:style w:type="paragraph" w:styleId="Style17">
    <w:name w:val="List"/>
    <w:basedOn w:val="Style16"/>
    <w:rsid w:val="00bb33a9"/>
    <w:pPr/>
    <w:rPr>
      <w:rFonts w:cs="Lohit Devanagari"/>
    </w:rPr>
  </w:style>
  <w:style w:type="paragraph" w:styleId="Style18" w:customStyle="1">
    <w:name w:val="Caption"/>
    <w:basedOn w:val="Normal"/>
    <w:qFormat/>
    <w:rsid w:val="00bb33a9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Indexheading">
    <w:name w:val="index heading"/>
    <w:basedOn w:val="Normal"/>
    <w:qFormat/>
    <w:rsid w:val="00bb33a9"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8e624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next w:val="Normal"/>
    <w:qFormat/>
    <w:rsid w:val="00bb33a9"/>
    <w:pPr>
      <w:widowControl w:val="false"/>
      <w:suppressAutoHyphens w:val="true"/>
      <w:bidi w:val="0"/>
      <w:spacing w:lineRule="auto" w:line="276" w:before="0" w:after="0"/>
      <w:ind w:firstLine="720"/>
      <w:jc w:val="left"/>
    </w:pPr>
    <w:rPr>
      <w:rFonts w:ascii="Arial" w:hAnsi="Arial" w:eastAsia="Arial" w:cs="" w:cstheme="minorBidi"/>
      <w:color w:val="auto"/>
      <w:kern w:val="2"/>
      <w:sz w:val="24"/>
      <w:szCs w:val="22"/>
      <w:lang w:val="ru-RU" w:eastAsia="en-US" w:bidi="ar-SA"/>
    </w:rPr>
  </w:style>
  <w:style w:type="paragraph" w:styleId="ConsPlusTitle" w:customStyle="1">
    <w:name w:val="ConsPlusTitle"/>
    <w:basedOn w:val="Normal"/>
    <w:next w:val="ConsPlusNormal"/>
    <w:qFormat/>
    <w:rsid w:val="00bb33a9"/>
    <w:pPr/>
    <w:rPr>
      <w:rFonts w:ascii="Arial" w:hAnsi="Arial" w:eastAsia="Arial" w:cs="Arial"/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LibreOffice/7.0.4.2$Linux_X86_64 LibreOffice_project/00$Build-2</Application>
  <AppVersion>15.0000</AppVersion>
  <Pages>5</Pages>
  <Words>895</Words>
  <Characters>5973</Characters>
  <CharactersWithSpaces>6969</CharactersWithSpaces>
  <Paragraphs>147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2020-10-27T12:21:00Z</dcterms:created>
  <dc:creator>user</dc:creator>
  <dc:description/>
  <dc:language>ru-RU</dc:language>
  <cp:lastModifiedBy/>
  <cp:lastPrinted>2022-07-18T08:51:37Z</cp:lastPrinted>
  <dcterms:modified xsi:type="dcterms:W3CDTF">2022-07-19T08:44:29Z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